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8C" w:rsidRPr="002630DD" w:rsidRDefault="002630DD" w:rsidP="002630DD">
      <w:pPr>
        <w:jc w:val="both"/>
        <w:rPr>
          <w:lang w:val="en-US"/>
        </w:rPr>
      </w:pPr>
      <w:r>
        <w:t>I. EL MARCO CONSTITUCIONAL E INTERNACIONAL DE LA REGULACIÓN LEGAL DE LA DISCAPACIDAD</w:t>
      </w:r>
      <w:proofErr w:type="gramStart"/>
      <w:r>
        <w:t>.—</w:t>
      </w:r>
      <w:proofErr w:type="gramEnd"/>
      <w:r>
        <w:t>II. LA NUEVA CONCEPCIÓN NORMATIVA DE LA DISCAPACIDAD: 1. EL  PARADIGMA  DE LA EXCLUSIÓN  SOCIAL. 2. EL  PARADIGMA  DE LA REHABILITACIÓN. 3. EL  PARADIGMA  DE LA VIDA INDEPENDIENTE</w:t>
      </w:r>
      <w:proofErr w:type="gramStart"/>
      <w:r>
        <w:t>.—</w:t>
      </w:r>
      <w:proofErr w:type="gramEnd"/>
      <w:r>
        <w:t xml:space="preserve">III. LAS OBRAS DE ACCESIBILIDAD UNIVERSAL EN LOS INMUEBLES EN LEYES DISTINTAS DE LA PROPIEDAD HORIZONTAL: 1. LA LEGISLACIÓN  SOBRE  LAS  CONDICIONES  DE ACCESIBILIDAD  UNIVERSAL. 2. LAS OBRAS DE ACCESIBILIDAD EN LA LEY 29/1994, DE 24 DE NOVIEMBRE, DE ARRENDAMIENTOS  URBANOS. 3. LAS  OBRAS  DE ACCESIBILIDAD  EN LA LEY  49/2003, DE 26 DE NOVIEMBRE, DE ARRENDAMIENTOS  RÚSTICOS. 4. LEY  15/1995, DE 30 DE MAYO, SOBRE LÍMITES </w:t>
      </w:r>
      <w:bookmarkStart w:id="0" w:name="_GoBack"/>
      <w:bookmarkEnd w:id="0"/>
      <w:r>
        <w:t>DEL  DOMINIO SOBRE  INMUEBLES  PARA  ELIMINAR  BARRERAS  ARQUITECTÓNICAS  A LAS PERSONAS CON DISCAPACIDAD</w:t>
      </w:r>
      <w:proofErr w:type="gramStart"/>
      <w:r>
        <w:t>.—</w:t>
      </w:r>
      <w:proofErr w:type="gramEnd"/>
      <w:r>
        <w:t>IV. LAS OBRAS DE ACCESIBILIDAD UNIVERSAL EN LA PROPIEDAD HORIZONTAL: 1. LAS  OBRAS  DE ACCESIBILIDAD MENORES  U OBLIGATORIAS</w:t>
      </w:r>
      <w:proofErr w:type="gramStart"/>
      <w:r>
        <w:t>:  </w:t>
      </w:r>
      <w:r>
        <w:rPr>
          <w:rStyle w:val="nfasis"/>
        </w:rPr>
        <w:t>A</w:t>
      </w:r>
      <w:proofErr w:type="gramEnd"/>
      <w:r>
        <w:rPr>
          <w:rStyle w:val="nfasis"/>
        </w:rPr>
        <w:t xml:space="preserve">) EL  CONCEPTO LEGAL DE OBRAS DE ACCESIBILIDAD OBLIGATORIAS. B) EL CARÁCTER OBLIGATORIO DE LAS OBRAS DE ACCESIBILIDAD. EL PROBLEMA DE NO REQUERIR EL ACUERDO DE LA JUNTA DE PROPIETARIOS. C) LA OCUPACIÓN DE LOS ELEMENTOS COMUNES DURANTE EL TIEMPO QUE DUREN LAS OBRAS. D) LA RESPONSABILIDAD INDIVIDUAL DEL PROPIETARIO QUE SE OPONGA O DEMORE INJUSTIFICADAMENTE LA EJECUCIÓN DE LAS ÓRDENES DE LA AUTORIDAD COMPETENTE. E) LA CONTRIBUCIÓN A LOS GASTOS DERIVADOS DE LAS OBRAS DE ACCESIBILIDAD. </w:t>
      </w:r>
      <w:r>
        <w:t xml:space="preserve">2. LAS OBRAS DE ACCESIBILIDAD MAYORES O VOLUNTARIAS: </w:t>
      </w:r>
      <w:r>
        <w:rPr>
          <w:rStyle w:val="nfasis"/>
        </w:rPr>
        <w:t>A) OBRAS DE ACCESIBILIDAD INCLUIDAS EN EL ARTÍCULO 17.2 LPH. B) LA MAYORÍA NECESARIA PARA LA APROBACIÓN DE ESTAS OBRAS. C) LA MAYORÍA NECESARIA PARA LA APROBACIÓN DE LOS LLAMADOS ACUERDOS ASOCIADOS. D) LA OBLIGATORIEDAD PARA TODOS LOS PROPIETARIOS DE LAS OBRAS DE ACCESIBILIDAD. E)  EL  PROBLEMA DE LAS SERVIDUMBRES NECESARIAS PARA LA INSTALACIÓN DEL ASCENSOR</w:t>
      </w:r>
      <w:proofErr w:type="gramStart"/>
      <w:r>
        <w:rPr>
          <w:rStyle w:val="nfasis"/>
        </w:rPr>
        <w:t>.—</w:t>
      </w:r>
      <w:proofErr w:type="gramEnd"/>
      <w:r>
        <w:t>V. CONCLU- SIONES.—VI. ÍNDICE DE SENTENCIAS CITADAS</w:t>
      </w:r>
      <w:proofErr w:type="gramStart"/>
      <w:r>
        <w:t>.—</w:t>
      </w:r>
      <w:proofErr w:type="gramEnd"/>
      <w:r>
        <w:t>VII. BIBLIOGRAFÍA</w:t>
      </w:r>
    </w:p>
    <w:sectPr w:rsidR="0010538C" w:rsidRPr="00263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DD"/>
    <w:rsid w:val="0010538C"/>
    <w:rsid w:val="00263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30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3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2018-05-04T11:34:00Z</dcterms:created>
  <dcterms:modified xsi:type="dcterms:W3CDTF">2018-05-04T11:43:00Z</dcterms:modified>
</cp:coreProperties>
</file>