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C" w:rsidRDefault="00A9013C" w:rsidP="00A9013C">
      <w:pPr>
        <w:jc w:val="both"/>
      </w:pPr>
      <w:r w:rsidRPr="00E97066">
        <w:t>SUMARIO: I. A MANERA DE INTRODUCCIÓN</w:t>
      </w:r>
      <w:proofErr w:type="gramStart"/>
      <w:r w:rsidRPr="00E97066">
        <w:t>.—</w:t>
      </w:r>
      <w:proofErr w:type="gramEnd"/>
      <w:r>
        <w:t xml:space="preserve"> </w:t>
      </w:r>
      <w:r w:rsidRPr="00E97066">
        <w:t>II. ANTECEDENTES LEGISLATIVOS.</w:t>
      </w:r>
      <w:r>
        <w:t xml:space="preserve"> </w:t>
      </w:r>
      <w:r>
        <w:tab/>
      </w:r>
      <w:r w:rsidRPr="00E97066">
        <w:t>—</w:t>
      </w:r>
      <w:r>
        <w:t xml:space="preserve"> </w:t>
      </w:r>
      <w:r w:rsidRPr="00E97066">
        <w:t xml:space="preserve">III. REQUISITOS DE VALIDEZ DE </w:t>
      </w:r>
      <w:smartTag w:uri="urn:schemas-microsoft-com:office:smarttags" w:element="PersonName">
        <w:smartTagPr>
          <w:attr w:name="ProductID" w:val="LA HIPOTECA EN EL"/>
        </w:smartTagPr>
        <w:r w:rsidRPr="00E97066">
          <w:t>LA HIPOTECA EN EL</w:t>
        </w:r>
      </w:smartTag>
      <w:r w:rsidRPr="00E97066">
        <w:t xml:space="preserve"> ARTÍCULO 1.099 DEL CÓDIGO CIVIL: A) QUE AFECTE EL BIEN EL PROPIETARIO o QUIEN ESTÉ AUTORIZADO PARA ESE EFECTO CONFORME A </w:t>
      </w:r>
      <w:smartTag w:uri="urn:schemas-microsoft-com:office:smarttags" w:element="PersonName">
        <w:smartTagPr>
          <w:attr w:name="ProductID" w:val="LA LEY. B"/>
        </w:smartTagPr>
        <w:r w:rsidRPr="00E97066">
          <w:t>LA LEY. B</w:t>
        </w:r>
      </w:smartTag>
      <w:r w:rsidRPr="00E97066">
        <w:t>) QUE ASEGURE EL CUMPLIMIENTO DE UNA OBLIGACIÓN DETERMINADA O DETERMINABLE. C) QUE EL GRAVAMEN SEA DE CANTIDAD DETERMINADA O DETERMINABLE. D) QUE EL GRAVAMEN SE INSCRIBA EN EL REGISTRO.</w:t>
      </w:r>
    </w:p>
    <w:p w:rsidR="00EC7C3E" w:rsidRDefault="00EC7C3E">
      <w:bookmarkStart w:id="0" w:name="_GoBack"/>
      <w:bookmarkEnd w:id="0"/>
    </w:p>
    <w:sectPr w:rsidR="00EC7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C"/>
    <w:rsid w:val="00A9013C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2018-05-24T12:05:00Z</dcterms:created>
  <dcterms:modified xsi:type="dcterms:W3CDTF">2018-05-24T12:07:00Z</dcterms:modified>
</cp:coreProperties>
</file>