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2" w:rsidRDefault="00601B72" w:rsidP="00601B72">
      <w:pPr>
        <w:contextualSpacing/>
        <w:rPr>
          <w:rFonts w:ascii="Times New Roman" w:hAnsi="Times New Roman"/>
          <w:sz w:val="24"/>
        </w:rPr>
      </w:pPr>
    </w:p>
    <w:p w:rsidR="00601B72" w:rsidRDefault="00601B72" w:rsidP="00601B72">
      <w:pPr>
        <w:contextualSpacing/>
        <w:rPr>
          <w:rFonts w:ascii="Times New Roman" w:hAnsi="Times New Roman"/>
          <w:sz w:val="24"/>
        </w:rPr>
      </w:pPr>
      <w:bookmarkStart w:id="0" w:name="_GoBack"/>
      <w:r w:rsidRPr="0039490B">
        <w:rPr>
          <w:rFonts w:ascii="Times New Roman" w:hAnsi="Times New Roman"/>
          <w:sz w:val="24"/>
        </w:rPr>
        <w:t>SUMARIO:</w:t>
      </w:r>
    </w:p>
    <w:p w:rsidR="00601B72" w:rsidRDefault="00601B72" w:rsidP="00601B7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490B">
        <w:rPr>
          <w:rFonts w:ascii="Times New Roman" w:hAnsi="Times New Roman"/>
          <w:sz w:val="24"/>
        </w:rPr>
        <w:t>I. INTRODUCCIÓN</w:t>
      </w:r>
      <w:proofErr w:type="gramStart"/>
      <w:r w:rsidRPr="0039490B">
        <w:rPr>
          <w:rFonts w:ascii="Times New Roman" w:hAnsi="Times New Roman"/>
          <w:sz w:val="24"/>
        </w:rPr>
        <w:t>.—</w:t>
      </w:r>
      <w:proofErr w:type="gramEnd"/>
      <w:r w:rsidRPr="0039490B">
        <w:rPr>
          <w:rFonts w:ascii="Times New Roman" w:hAnsi="Times New Roman"/>
          <w:sz w:val="24"/>
        </w:rPr>
        <w:t>II. EL DAÑO MORAL Y LOS INCUMPLIMIENTOS CONTRACTUALES. LOS LÍMITES PARA SU RESARCIMIENTO</w:t>
      </w:r>
      <w:proofErr w:type="gramStart"/>
      <w:r w:rsidRPr="0039490B">
        <w:rPr>
          <w:rFonts w:ascii="Times New Roman" w:hAnsi="Times New Roman"/>
          <w:sz w:val="24"/>
        </w:rPr>
        <w:t>.—</w:t>
      </w:r>
      <w:proofErr w:type="gramEnd"/>
      <w:r w:rsidRPr="0039490B">
        <w:rPr>
          <w:rFonts w:ascii="Times New Roman" w:hAnsi="Times New Roman"/>
          <w:sz w:val="24"/>
        </w:rPr>
        <w:t xml:space="preserve"> III. EL TRATAMIENTO DE LA CUESTIÓN DESDE UNA INTERPRETACIÓN DEL ARTÍCULO 1107.2 DEL CÓDIGO CIVIL. LA IMPUTACIÓN OBJETIVA Y LA TEORÍA DE LA ADECUACIÓN</w:t>
      </w:r>
      <w:proofErr w:type="gramStart"/>
      <w:r w:rsidRPr="0039490B">
        <w:rPr>
          <w:rFonts w:ascii="Times New Roman" w:hAnsi="Times New Roman"/>
          <w:sz w:val="24"/>
        </w:rPr>
        <w:t>.—</w:t>
      </w:r>
      <w:proofErr w:type="gramEnd"/>
      <w:r w:rsidRPr="0039490B">
        <w:rPr>
          <w:rFonts w:ascii="Times New Roman" w:hAnsi="Times New Roman"/>
          <w:sz w:val="24"/>
        </w:rPr>
        <w:t>IV. RECAPITULACIÓN</w:t>
      </w:r>
      <w:proofErr w:type="gramStart"/>
      <w:r w:rsidRPr="0039490B">
        <w:rPr>
          <w:rFonts w:ascii="Times New Roman" w:hAnsi="Times New Roman"/>
          <w:sz w:val="24"/>
        </w:rPr>
        <w:t>.—</w:t>
      </w:r>
      <w:proofErr w:type="gramEnd"/>
      <w:r w:rsidRPr="0039490B">
        <w:rPr>
          <w:rFonts w:ascii="Times New Roman" w:hAnsi="Times New Roman"/>
          <w:sz w:val="24"/>
        </w:rPr>
        <w:t>V. BIBLIOGRAFÍA.—VI. ÍNDICE DE RESOLUCIONES CITADAS.</w:t>
      </w:r>
    </w:p>
    <w:bookmarkEnd w:id="0"/>
    <w:p w:rsidR="00AA0491" w:rsidRDefault="00AA0491"/>
    <w:sectPr w:rsidR="00A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72"/>
    <w:rsid w:val="00601B72"/>
    <w:rsid w:val="00A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2018-03-19T11:18:00Z</dcterms:created>
  <dcterms:modified xsi:type="dcterms:W3CDTF">2018-03-19T11:21:00Z</dcterms:modified>
</cp:coreProperties>
</file>