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04" w:rsidRPr="008E0E1C" w:rsidRDefault="00923F04" w:rsidP="00923F04">
      <w:pPr>
        <w:contextualSpacing/>
        <w:rPr>
          <w:rFonts w:ascii="Times New Roman" w:hAnsi="Times New Roman"/>
          <w:sz w:val="24"/>
        </w:rPr>
      </w:pPr>
    </w:p>
    <w:p w:rsidR="00923F04" w:rsidRDefault="00923F04" w:rsidP="00923F04">
      <w:pPr>
        <w:contextualSpacing/>
        <w:rPr>
          <w:rFonts w:ascii="Times New Roman" w:hAnsi="Times New Roman"/>
          <w:sz w:val="24"/>
        </w:rPr>
      </w:pPr>
      <w:r w:rsidRPr="008E0E1C">
        <w:rPr>
          <w:rFonts w:ascii="Times New Roman" w:hAnsi="Times New Roman"/>
          <w:sz w:val="24"/>
        </w:rPr>
        <w:t>SUMARIO:</w:t>
      </w:r>
    </w:p>
    <w:p w:rsidR="00923F04" w:rsidRPr="008E0E1C" w:rsidRDefault="00923F04" w:rsidP="00923F04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E0E1C">
        <w:rPr>
          <w:rFonts w:ascii="Times New Roman" w:hAnsi="Times New Roman"/>
          <w:sz w:val="24"/>
        </w:rPr>
        <w:t>I. NOCIONES PRELIMINARES SOBRE LA RESERVA VIDUAL</w:t>
      </w:r>
      <w:proofErr w:type="gramStart"/>
      <w:r w:rsidRPr="008E0E1C">
        <w:rPr>
          <w:rFonts w:ascii="Times New Roman" w:hAnsi="Times New Roman"/>
          <w:sz w:val="24"/>
        </w:rPr>
        <w:t>.—</w:t>
      </w:r>
      <w:proofErr w:type="gramEnd"/>
      <w:r w:rsidRPr="008E0E1C">
        <w:rPr>
          <w:rFonts w:ascii="Times New Roman" w:hAnsi="Times New Roman"/>
          <w:sz w:val="24"/>
        </w:rPr>
        <w:t xml:space="preserve"> II. RESERVAS HEREDITARIAS Y SUCESIVAS REDACCIONES LEGALES: LA DEFINITIVA DEROGACIÓN DE LA FIGURA EN EL NUEVO DERECHO CIVIL CATALÁN</w:t>
      </w:r>
      <w:proofErr w:type="gramStart"/>
      <w:r w:rsidRPr="008E0E1C">
        <w:rPr>
          <w:rFonts w:ascii="Times New Roman" w:hAnsi="Times New Roman"/>
          <w:sz w:val="24"/>
        </w:rPr>
        <w:t>.—</w:t>
      </w:r>
      <w:proofErr w:type="gramEnd"/>
      <w:r w:rsidRPr="008E0E1C">
        <w:rPr>
          <w:rFonts w:ascii="Times New Roman" w:hAnsi="Times New Roman"/>
          <w:sz w:val="24"/>
        </w:rPr>
        <w:t>III. RESERVABILIDAD DE LA MITAD INDIVISA DE BIEN INMUEBLE GANANCIAL: LA STSJ DE CATALUÑA, DE 31 DE MAYO DE 2010</w:t>
      </w:r>
      <w:proofErr w:type="gramStart"/>
      <w:r w:rsidRPr="008E0E1C">
        <w:rPr>
          <w:rFonts w:ascii="Times New Roman" w:hAnsi="Times New Roman"/>
          <w:sz w:val="24"/>
        </w:rPr>
        <w:t>.—</w:t>
      </w:r>
      <w:proofErr w:type="gramEnd"/>
      <w:r w:rsidRPr="008E0E1C">
        <w:rPr>
          <w:rFonts w:ascii="Times New Roman" w:hAnsi="Times New Roman"/>
          <w:sz w:val="24"/>
        </w:rPr>
        <w:t>IV. ASPECTOS DE LA RESERVA VIDUAL: LA TRANSMISIÓN A TÍTULO GRATUITO Y POSIBLE COLISIÓN DE RESERVAS HEREDITARIAS (SSTS DE 5 DE JUNIO DE 2008, 4 DE ENERO DE 1911 Y 21 DE ENERO DE 1922)</w:t>
      </w:r>
      <w:proofErr w:type="gramStart"/>
      <w:r w:rsidRPr="008E0E1C">
        <w:rPr>
          <w:rFonts w:ascii="Times New Roman" w:hAnsi="Times New Roman"/>
          <w:sz w:val="24"/>
        </w:rPr>
        <w:t>.—</w:t>
      </w:r>
      <w:proofErr w:type="gramEnd"/>
      <w:r w:rsidRPr="008E0E1C">
        <w:rPr>
          <w:rFonts w:ascii="Times New Roman" w:hAnsi="Times New Roman"/>
          <w:sz w:val="24"/>
        </w:rPr>
        <w:t>V. LA RESERVA EN LA ACTUALIDAD: LA POSIBLE APLICACIÓN DE LA RESERVA VIDUAL A LAS PAREJAS DE HECHO: EN CONCRETO, LA SAP DE BARCELONA, DE 22 DE MARZO DE 2010 Y LA SAP DE CASTELLÓN, DE 2 DE MARZO DE 2010.—VI. LA NATURALEZA JURÍDICA DE LA RESERVA VIDUAL EN LA JURISPRUDENCIA Y EN LA DOCTRINA</w:t>
      </w:r>
      <w:proofErr w:type="gramStart"/>
      <w:r w:rsidRPr="008E0E1C">
        <w:rPr>
          <w:rFonts w:ascii="Times New Roman" w:hAnsi="Times New Roman"/>
          <w:sz w:val="24"/>
        </w:rPr>
        <w:t>.—</w:t>
      </w:r>
      <w:proofErr w:type="gramEnd"/>
      <w:r w:rsidRPr="008E0E1C">
        <w:rPr>
          <w:rFonts w:ascii="Times New Roman" w:hAnsi="Times New Roman"/>
          <w:sz w:val="24"/>
        </w:rPr>
        <w:t>VII. REFLEXIONES FINALES: LA RESERVA VIDUAL COMO POSIBLE LIMITACIÓN DE LA LIBERTAD MATRIMONIAL Y FÓRMULAS ALTERNATIVAS PARA LA PROTECCIÓN DE LOS INTERESES PATRIMONIALES DE LOS HIJOS O HIJAS DEL PRIMER MATRIMONIO.—BIBLIOGRAFÍA.— ÍNDICE DE RESOLUCIONES CITADAS.</w:t>
      </w:r>
    </w:p>
    <w:p w:rsidR="00DC5543" w:rsidRPr="00923F04" w:rsidRDefault="00DC5543">
      <w:pPr>
        <w:rPr>
          <w:rStyle w:val="nfasis"/>
        </w:rPr>
      </w:pPr>
      <w:bookmarkStart w:id="0" w:name="_GoBack"/>
      <w:bookmarkEnd w:id="0"/>
    </w:p>
    <w:sectPr w:rsidR="00DC5543" w:rsidRPr="00923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04"/>
    <w:rsid w:val="00923F04"/>
    <w:rsid w:val="00D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0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23F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0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23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2018-03-19T10:02:00Z</dcterms:created>
  <dcterms:modified xsi:type="dcterms:W3CDTF">2018-03-19T10:02:00Z</dcterms:modified>
</cp:coreProperties>
</file>