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63" w:rsidRPr="000506EE" w:rsidRDefault="00C01D63" w:rsidP="00C01D63">
      <w:pPr>
        <w:contextualSpacing/>
        <w:rPr>
          <w:rFonts w:ascii="Times New Roman" w:hAnsi="Times New Roman"/>
          <w:sz w:val="24"/>
        </w:rPr>
      </w:pPr>
      <w:r w:rsidRPr="000506EE">
        <w:rPr>
          <w:rFonts w:ascii="Times New Roman" w:hAnsi="Times New Roman"/>
          <w:sz w:val="24"/>
        </w:rPr>
        <w:t>SUMARIO.</w:t>
      </w:r>
    </w:p>
    <w:p w:rsidR="00C01D63" w:rsidRPr="000506EE" w:rsidRDefault="00C01D63" w:rsidP="00C01D63">
      <w:pPr>
        <w:contextualSpacing/>
        <w:rPr>
          <w:rFonts w:ascii="Times New Roman" w:hAnsi="Times New Roman"/>
          <w:sz w:val="24"/>
        </w:rPr>
      </w:pPr>
      <w:r w:rsidRPr="000506EE">
        <w:rPr>
          <w:rFonts w:ascii="Times New Roman" w:hAnsi="Times New Roman"/>
          <w:sz w:val="24"/>
        </w:rPr>
        <w:tab/>
        <w:t>I. CONSIDERACIONES PREVIAS.</w:t>
      </w:r>
    </w:p>
    <w:p w:rsidR="00C01D63" w:rsidRPr="000506EE" w:rsidRDefault="00C01D63" w:rsidP="00C01D63">
      <w:pPr>
        <w:contextualSpacing/>
        <w:rPr>
          <w:rFonts w:ascii="Times New Roman" w:hAnsi="Times New Roman"/>
          <w:sz w:val="24"/>
        </w:rPr>
      </w:pPr>
      <w:r w:rsidRPr="000506EE">
        <w:rPr>
          <w:rFonts w:ascii="Times New Roman" w:hAnsi="Times New Roman"/>
          <w:sz w:val="24"/>
        </w:rPr>
        <w:tab/>
        <w:t>II. ANÁLISIS DE LA EVENTUAL NECESIDAD DE DICTAR LA DILIGENCIA DE EMBARGO.</w:t>
      </w:r>
    </w:p>
    <w:p w:rsidR="00C01D63" w:rsidRPr="000506EE" w:rsidRDefault="00C01D63" w:rsidP="00C01D63">
      <w:pPr>
        <w:contextualSpacing/>
        <w:rPr>
          <w:rFonts w:ascii="Times New Roman" w:hAnsi="Times New Roman"/>
          <w:sz w:val="24"/>
        </w:rPr>
      </w:pPr>
      <w:r w:rsidRPr="000506EE">
        <w:rPr>
          <w:rFonts w:ascii="Times New Roman" w:hAnsi="Times New Roman"/>
          <w:sz w:val="24"/>
        </w:rPr>
        <w:tab/>
        <w:t>III. ¿DEBE PROCEDERSE A LA PRÁCTICA DE LA ANOTACIÓN PREVENTIVA DE EMBARGO?</w:t>
      </w:r>
    </w:p>
    <w:p w:rsidR="00C01D63" w:rsidRPr="000506EE" w:rsidRDefault="00C01D63" w:rsidP="00C01D63">
      <w:pPr>
        <w:contextualSpacing/>
        <w:rPr>
          <w:rFonts w:ascii="Times New Roman" w:hAnsi="Times New Roman"/>
          <w:sz w:val="24"/>
        </w:rPr>
      </w:pPr>
      <w:r w:rsidRPr="000506EE">
        <w:rPr>
          <w:rFonts w:ascii="Times New Roman" w:hAnsi="Times New Roman"/>
          <w:sz w:val="24"/>
        </w:rPr>
        <w:tab/>
        <w:t>IV. PRINCIPALES ASPECTOS DERIVADOS DEL PROCEDIMIENTO DE EJECUCIÓN HIPOTECARIA.</w:t>
      </w:r>
    </w:p>
    <w:p w:rsidR="00C01D63" w:rsidRPr="000506EE" w:rsidRDefault="00C01D63" w:rsidP="00C01D63">
      <w:pPr>
        <w:contextualSpacing/>
        <w:rPr>
          <w:rFonts w:ascii="Times New Roman" w:hAnsi="Times New Roman"/>
          <w:sz w:val="24"/>
        </w:rPr>
      </w:pPr>
      <w:r w:rsidRPr="000506EE">
        <w:rPr>
          <w:rFonts w:ascii="Times New Roman" w:hAnsi="Times New Roman"/>
          <w:sz w:val="24"/>
        </w:rPr>
        <w:tab/>
        <w:t>V. SUPUESTOS DE ADJUDICACIÓN DE BIENES POR LA HACIENDA PÚBLICA.</w:t>
      </w:r>
    </w:p>
    <w:p w:rsidR="00613C63" w:rsidRDefault="00613C63">
      <w:bookmarkStart w:id="0" w:name="_GoBack"/>
      <w:bookmarkEnd w:id="0"/>
    </w:p>
    <w:sectPr w:rsidR="00613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63"/>
    <w:rsid w:val="00613C63"/>
    <w:rsid w:val="00C0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6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6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2018-03-16T10:13:00Z</dcterms:created>
  <dcterms:modified xsi:type="dcterms:W3CDTF">2018-03-16T10:16:00Z</dcterms:modified>
</cp:coreProperties>
</file>