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66" w:rsidRPr="00797D66" w:rsidRDefault="00797D66" w:rsidP="00797D66">
      <w:pPr>
        <w:autoSpaceDE w:val="0"/>
        <w:autoSpaceDN w:val="0"/>
        <w:adjustRightInd w:val="0"/>
        <w:spacing w:after="0" w:line="240" w:lineRule="auto"/>
        <w:jc w:val="both"/>
        <w:rPr>
          <w:rFonts w:ascii="NewAster" w:hAnsi="NewAster" w:cs="NewAster"/>
          <w:sz w:val="23"/>
          <w:szCs w:val="17"/>
        </w:rPr>
      </w:pPr>
      <w:r w:rsidRPr="00797D66">
        <w:rPr>
          <w:rFonts w:ascii="NewAster-Italic" w:hAnsi="NewAster-Italic" w:cs="NewAster-Italic"/>
          <w:i/>
          <w:iCs/>
          <w:sz w:val="23"/>
          <w:szCs w:val="17"/>
        </w:rPr>
        <w:t xml:space="preserve">SUMARIO: </w:t>
      </w:r>
      <w:r w:rsidRPr="00797D66">
        <w:rPr>
          <w:rFonts w:ascii="NewAster" w:hAnsi="NewAster" w:cs="NewAster"/>
          <w:sz w:val="23"/>
          <w:szCs w:val="17"/>
        </w:rPr>
        <w:t>I. CONCEPTO Y ALCANCE DE LOS NEGOCIOS FIDUCIARIOS</w:t>
      </w:r>
      <w:proofErr w:type="gramStart"/>
      <w:r w:rsidRPr="00797D66">
        <w:rPr>
          <w:rFonts w:ascii="NewAster" w:hAnsi="NewAster" w:cs="NewAster"/>
          <w:sz w:val="23"/>
          <w:szCs w:val="17"/>
        </w:rPr>
        <w:t>:1</w:t>
      </w:r>
      <w:proofErr w:type="gramEnd"/>
      <w:r w:rsidRPr="00797D66">
        <w:rPr>
          <w:rFonts w:ascii="NewAster" w:hAnsi="NewAster" w:cs="NewAster"/>
          <w:sz w:val="23"/>
          <w:szCs w:val="17"/>
        </w:rPr>
        <w:t xml:space="preserve">. </w:t>
      </w:r>
      <w:r w:rsidRPr="00797D66">
        <w:rPr>
          <w:rFonts w:ascii="NewAster-SC700" w:hAnsi="NewAster-SC700" w:cs="NewAster-SC700"/>
          <w:sz w:val="23"/>
          <w:szCs w:val="17"/>
        </w:rPr>
        <w:t>D</w:t>
      </w:r>
      <w:r w:rsidRPr="00797D66">
        <w:rPr>
          <w:rFonts w:ascii="NewAster-SC700" w:hAnsi="NewAster-SC700" w:cs="NewAster-SC700"/>
          <w:sz w:val="18"/>
          <w:szCs w:val="12"/>
        </w:rPr>
        <w:t>efinición</w:t>
      </w:r>
      <w:r w:rsidRPr="00797D66">
        <w:rPr>
          <w:rFonts w:ascii="NewAster" w:hAnsi="NewAster" w:cs="NewAster"/>
          <w:sz w:val="23"/>
          <w:szCs w:val="17"/>
        </w:rPr>
        <w:t xml:space="preserve">: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A) La confianza como elemento configurador del negocio fiduciario.</w:t>
      </w:r>
      <w:r w:rsidRPr="00797D66">
        <w:rPr>
          <w:rFonts w:ascii="NewAster" w:hAnsi="NewAster" w:cs="NewAster"/>
          <w:sz w:val="23"/>
          <w:szCs w:val="17"/>
        </w:rPr>
        <w:t xml:space="preserve">2. </w:t>
      </w:r>
      <w:r w:rsidRPr="00797D66">
        <w:rPr>
          <w:rFonts w:ascii="NewAster-SC700" w:hAnsi="NewAster-SC700" w:cs="NewAster-SC700"/>
          <w:sz w:val="23"/>
          <w:szCs w:val="17"/>
        </w:rPr>
        <w:t>D</w:t>
      </w:r>
      <w:r w:rsidRPr="00797D66">
        <w:rPr>
          <w:rFonts w:ascii="NewAster-SC700" w:hAnsi="NewAster-SC700" w:cs="NewAster-SC700"/>
          <w:sz w:val="18"/>
          <w:szCs w:val="12"/>
        </w:rPr>
        <w:t>efinición jurisprudencial</w:t>
      </w:r>
      <w:r w:rsidRPr="00797D66">
        <w:rPr>
          <w:rFonts w:ascii="NewAster" w:hAnsi="NewAster" w:cs="NewAster"/>
          <w:sz w:val="23"/>
          <w:szCs w:val="17"/>
        </w:rPr>
        <w:t xml:space="preserve">: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A) Distinción de las modalidades de negocios fiduciarios</w:t>
      </w:r>
      <w:r>
        <w:rPr>
          <w:rFonts w:ascii="NewAster-Italic" w:hAnsi="NewAster-Italic" w:cs="NewAster-Italic"/>
          <w:i/>
          <w:iCs/>
          <w:sz w:val="23"/>
          <w:szCs w:val="17"/>
        </w:rPr>
        <w:t xml:space="preserve"> </w:t>
      </w:r>
      <w:bookmarkStart w:id="0" w:name="_GoBack"/>
      <w:bookmarkEnd w:id="0"/>
      <w:r w:rsidRPr="00797D66">
        <w:rPr>
          <w:rFonts w:ascii="NewAster-Italic" w:hAnsi="NewAster-Italic" w:cs="NewAster-Italic"/>
          <w:i/>
          <w:iCs/>
          <w:sz w:val="23"/>
          <w:szCs w:val="17"/>
        </w:rPr>
        <w:t>según la jurisprudencia. B) Notas características de los negocios fiduciarios</w:t>
      </w:r>
      <w:proofErr w:type="gramStart"/>
      <w:r w:rsidRPr="00797D66">
        <w:rPr>
          <w:rFonts w:ascii="NewAster-Italic" w:hAnsi="NewAster-Italic" w:cs="NewAster-Italic"/>
          <w:i/>
          <w:iCs/>
          <w:sz w:val="23"/>
          <w:szCs w:val="17"/>
        </w:rPr>
        <w:t>.—</w:t>
      </w:r>
      <w:proofErr w:type="gramEnd"/>
      <w:r w:rsidRPr="00797D66">
        <w:rPr>
          <w:rFonts w:ascii="NewAster" w:hAnsi="NewAster" w:cs="NewAster"/>
          <w:sz w:val="23"/>
          <w:szCs w:val="17"/>
        </w:rPr>
        <w:t xml:space="preserve">II. FIDUCIA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 xml:space="preserve">CUM AMICO </w:t>
      </w:r>
      <w:r w:rsidRPr="00797D66">
        <w:rPr>
          <w:rFonts w:ascii="NewAster" w:hAnsi="NewAster" w:cs="NewAster"/>
          <w:sz w:val="23"/>
          <w:szCs w:val="17"/>
        </w:rPr>
        <w:t>EN LA JURISPRUDENCIA DEL TRIBUNAL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797D66">
        <w:rPr>
          <w:rFonts w:ascii="NewAster" w:hAnsi="NewAster" w:cs="NewAster"/>
          <w:sz w:val="23"/>
          <w:szCs w:val="17"/>
        </w:rPr>
        <w:t xml:space="preserve">SUPREMO: 1. </w:t>
      </w:r>
      <w:r w:rsidRPr="00797D66">
        <w:rPr>
          <w:rFonts w:ascii="NewAster-SC700" w:hAnsi="NewAster-SC700" w:cs="NewAster-SC700"/>
          <w:sz w:val="23"/>
          <w:szCs w:val="17"/>
        </w:rPr>
        <w:t>R</w:t>
      </w:r>
      <w:r w:rsidRPr="00797D66">
        <w:rPr>
          <w:rFonts w:ascii="NewAster-SC700" w:hAnsi="NewAster-SC700" w:cs="NewAster-SC700"/>
          <w:sz w:val="18"/>
          <w:szCs w:val="12"/>
        </w:rPr>
        <w:t>econocimiento jurisprudencial como negocio válido</w:t>
      </w:r>
      <w:r w:rsidRPr="00797D66">
        <w:rPr>
          <w:rFonts w:ascii="NewAster-SC700" w:hAnsi="NewAster-SC700" w:cs="NewAster-SC700"/>
          <w:sz w:val="23"/>
          <w:szCs w:val="17"/>
        </w:rPr>
        <w:t xml:space="preserve">, </w:t>
      </w:r>
      <w:r w:rsidRPr="00797D66">
        <w:rPr>
          <w:rFonts w:ascii="NewAster-SC700" w:hAnsi="NewAster-SC700" w:cs="NewAster-SC700"/>
          <w:sz w:val="18"/>
          <w:szCs w:val="12"/>
        </w:rPr>
        <w:t>posible y lícito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797D66">
        <w:rPr>
          <w:rFonts w:ascii="NewAster-SC700" w:hAnsi="NewAster-SC700" w:cs="NewAster-SC700"/>
          <w:sz w:val="18"/>
          <w:szCs w:val="12"/>
        </w:rPr>
        <w:t xml:space="preserve">del negocio fiduciario </w:t>
      </w:r>
      <w:r w:rsidRPr="00797D66">
        <w:rPr>
          <w:rFonts w:ascii="NewAster-Italic-SC700" w:hAnsi="NewAster-Italic-SC700" w:cs="NewAster-Italic-SC700"/>
          <w:i/>
          <w:iCs/>
          <w:sz w:val="18"/>
          <w:szCs w:val="12"/>
        </w:rPr>
        <w:t xml:space="preserve">cum </w:t>
      </w:r>
      <w:proofErr w:type="spellStart"/>
      <w:r w:rsidRPr="00797D66">
        <w:rPr>
          <w:rFonts w:ascii="NewAster-Italic-SC700" w:hAnsi="NewAster-Italic-SC700" w:cs="NewAster-Italic-SC700"/>
          <w:i/>
          <w:iCs/>
          <w:sz w:val="18"/>
          <w:szCs w:val="12"/>
        </w:rPr>
        <w:t>amico</w:t>
      </w:r>
      <w:proofErr w:type="spellEnd"/>
      <w:proofErr w:type="gramStart"/>
      <w:r w:rsidRPr="00797D66">
        <w:rPr>
          <w:rFonts w:ascii="NewAster" w:hAnsi="NewAster" w:cs="NewAster"/>
          <w:sz w:val="23"/>
          <w:szCs w:val="17"/>
        </w:rPr>
        <w:t>.—</w:t>
      </w:r>
      <w:proofErr w:type="gramEnd"/>
      <w:r w:rsidRPr="00797D66">
        <w:rPr>
          <w:rFonts w:ascii="NewAster" w:hAnsi="NewAster" w:cs="NewAster"/>
          <w:sz w:val="23"/>
          <w:szCs w:val="17"/>
        </w:rPr>
        <w:t>III. DETERMINACIÓN Y DISTINCIÓN DE LOS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797D66">
        <w:rPr>
          <w:rFonts w:ascii="NewAster" w:hAnsi="NewAster" w:cs="NewAster"/>
          <w:sz w:val="23"/>
          <w:szCs w:val="17"/>
        </w:rPr>
        <w:t xml:space="preserve">NEGOCIOS FIDUCIARIOS ANTE LAS CRISIS MATRIMONIALES: 1. </w:t>
      </w:r>
      <w:r w:rsidRPr="00797D66">
        <w:rPr>
          <w:rFonts w:ascii="NewAster-SC700" w:hAnsi="NewAster-SC700" w:cs="NewAster-SC700"/>
          <w:sz w:val="23"/>
          <w:szCs w:val="17"/>
        </w:rPr>
        <w:t>D</w:t>
      </w:r>
      <w:r w:rsidRPr="00797D66">
        <w:rPr>
          <w:rFonts w:ascii="NewAster-SC700" w:hAnsi="NewAster-SC700" w:cs="NewAster-SC700"/>
          <w:sz w:val="18"/>
          <w:szCs w:val="12"/>
        </w:rPr>
        <w:t>istinción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797D66">
        <w:rPr>
          <w:rFonts w:ascii="NewAster-SC700" w:hAnsi="NewAster-SC700" w:cs="NewAster-SC700"/>
          <w:sz w:val="18"/>
          <w:szCs w:val="12"/>
        </w:rPr>
        <w:t xml:space="preserve">entre negocio fiduciario </w:t>
      </w:r>
      <w:r w:rsidRPr="00797D66">
        <w:rPr>
          <w:rFonts w:ascii="NewAster-Italic-SC700" w:hAnsi="NewAster-Italic-SC700" w:cs="NewAster-Italic-SC700"/>
          <w:i/>
          <w:iCs/>
          <w:sz w:val="18"/>
          <w:szCs w:val="12"/>
        </w:rPr>
        <w:t xml:space="preserve">cum </w:t>
      </w:r>
      <w:proofErr w:type="spellStart"/>
      <w:r w:rsidRPr="00797D66">
        <w:rPr>
          <w:rFonts w:ascii="NewAster-Italic-SC700" w:hAnsi="NewAster-Italic-SC700" w:cs="NewAster-Italic-SC700"/>
          <w:i/>
          <w:iCs/>
          <w:sz w:val="18"/>
          <w:szCs w:val="12"/>
        </w:rPr>
        <w:t>amico</w:t>
      </w:r>
      <w:proofErr w:type="spellEnd"/>
      <w:r w:rsidRPr="00797D66">
        <w:rPr>
          <w:rFonts w:ascii="NewAster-Italic-SC700" w:hAnsi="NewAster-Italic-SC700" w:cs="NewAster-Italic-SC700"/>
          <w:i/>
          <w:iCs/>
          <w:sz w:val="18"/>
          <w:szCs w:val="12"/>
        </w:rPr>
        <w:t xml:space="preserve"> </w:t>
      </w:r>
      <w:r w:rsidRPr="00797D66">
        <w:rPr>
          <w:rFonts w:ascii="NewAster-SC700" w:hAnsi="NewAster-SC700" w:cs="NewAster-SC700"/>
          <w:sz w:val="18"/>
          <w:szCs w:val="12"/>
        </w:rPr>
        <w:t>y donaciones</w:t>
      </w:r>
      <w:r w:rsidRPr="00797D66">
        <w:rPr>
          <w:rFonts w:ascii="NewAster" w:hAnsi="NewAster" w:cs="NewAster"/>
          <w:sz w:val="23"/>
          <w:szCs w:val="17"/>
        </w:rPr>
        <w:t xml:space="preserve">. 2. </w:t>
      </w:r>
      <w:r w:rsidRPr="00797D66">
        <w:rPr>
          <w:rFonts w:ascii="NewAster-SC700" w:hAnsi="NewAster-SC700" w:cs="NewAster-SC700"/>
          <w:sz w:val="23"/>
          <w:szCs w:val="17"/>
        </w:rPr>
        <w:t>D</w:t>
      </w:r>
      <w:r w:rsidRPr="00797D66">
        <w:rPr>
          <w:rFonts w:ascii="NewAster-SC700" w:hAnsi="NewAster-SC700" w:cs="NewAster-SC700"/>
          <w:sz w:val="18"/>
          <w:szCs w:val="12"/>
        </w:rPr>
        <w:t>iferencia de los negocios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797D66">
        <w:rPr>
          <w:rFonts w:ascii="NewAster-SC700" w:hAnsi="NewAster-SC700" w:cs="NewAster-SC700"/>
          <w:sz w:val="18"/>
          <w:szCs w:val="12"/>
        </w:rPr>
        <w:t>fiduciarios y los negocios de confianza</w:t>
      </w:r>
      <w:proofErr w:type="gramStart"/>
      <w:r w:rsidRPr="00797D66">
        <w:rPr>
          <w:rFonts w:ascii="NewAster" w:hAnsi="NewAster" w:cs="NewAster"/>
          <w:sz w:val="23"/>
          <w:szCs w:val="17"/>
        </w:rPr>
        <w:t>.—</w:t>
      </w:r>
      <w:proofErr w:type="gramEnd"/>
      <w:r w:rsidRPr="00797D66">
        <w:rPr>
          <w:rFonts w:ascii="NewAster" w:hAnsi="NewAster" w:cs="NewAster"/>
          <w:sz w:val="23"/>
          <w:szCs w:val="17"/>
        </w:rPr>
        <w:t>IV. LA CONFIANZA ANTE LA CRISIS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797D66">
        <w:rPr>
          <w:rFonts w:ascii="NewAster" w:hAnsi="NewAster" w:cs="NewAster"/>
          <w:sz w:val="23"/>
          <w:szCs w:val="17"/>
        </w:rPr>
        <w:t xml:space="preserve">MATRIMONIAL Y LOS NEGOCIOS FIDUCIARIOS: 1. </w:t>
      </w:r>
      <w:r w:rsidRPr="00797D66">
        <w:rPr>
          <w:rFonts w:ascii="NewAster-SC700" w:hAnsi="NewAster-SC700" w:cs="NewAster-SC700"/>
          <w:sz w:val="23"/>
          <w:szCs w:val="17"/>
        </w:rPr>
        <w:t>C</w:t>
      </w:r>
      <w:r w:rsidRPr="00797D66">
        <w:rPr>
          <w:rFonts w:ascii="NewAster-SC700" w:hAnsi="NewAster-SC700" w:cs="NewAster-SC700"/>
          <w:sz w:val="18"/>
          <w:szCs w:val="12"/>
        </w:rPr>
        <w:t>omentarios a resoluciones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797D66">
        <w:rPr>
          <w:rFonts w:ascii="NewAster-SC700" w:hAnsi="NewAster-SC700" w:cs="NewAster-SC700"/>
          <w:sz w:val="18"/>
          <w:szCs w:val="12"/>
        </w:rPr>
        <w:t>judiciales</w:t>
      </w:r>
      <w:r w:rsidRPr="00797D66">
        <w:rPr>
          <w:rFonts w:ascii="NewAster-SC700" w:hAnsi="NewAster-SC700" w:cs="NewAster-SC700"/>
          <w:sz w:val="23"/>
          <w:szCs w:val="17"/>
        </w:rPr>
        <w:t xml:space="preserve">: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A) Sentencia del Tribunal Supremo de 9 de marzo de 2006. B) Sentencia</w:t>
      </w:r>
      <w:r>
        <w:rPr>
          <w:rFonts w:ascii="NewAster-Italic" w:hAnsi="NewAster-Italic" w:cs="NewAster-Italic"/>
          <w:i/>
          <w:iCs/>
          <w:sz w:val="23"/>
          <w:szCs w:val="17"/>
        </w:rPr>
        <w:t xml:space="preserve">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del Tribunal Supremo de 28 de marzo de 2012</w:t>
      </w:r>
      <w:r w:rsidRPr="00797D66">
        <w:rPr>
          <w:rFonts w:ascii="NewAster" w:hAnsi="NewAster" w:cs="NewAster"/>
          <w:sz w:val="23"/>
          <w:szCs w:val="17"/>
        </w:rPr>
        <w:t xml:space="preserve">.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C) Sentencia de la Audiencia Provincial</w:t>
      </w:r>
      <w:r>
        <w:rPr>
          <w:rFonts w:ascii="NewAster-Italic" w:hAnsi="NewAster-Italic" w:cs="NewAster-Italic"/>
          <w:i/>
          <w:iCs/>
          <w:sz w:val="23"/>
          <w:szCs w:val="17"/>
        </w:rPr>
        <w:t xml:space="preserve">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de Barcelona de 26 de octubre de 2010. D) Sentencia de la Audiencia Provincial</w:t>
      </w:r>
      <w:r>
        <w:rPr>
          <w:rFonts w:ascii="NewAster-Italic" w:hAnsi="NewAster-Italic" w:cs="NewAster-Italic"/>
          <w:i/>
          <w:iCs/>
          <w:sz w:val="23"/>
          <w:szCs w:val="17"/>
        </w:rPr>
        <w:t xml:space="preserve">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de Madrid de 31 de marzo de 2011. E) Sentencia de la Audiencia Provincial de</w:t>
      </w:r>
      <w:r>
        <w:rPr>
          <w:rFonts w:ascii="NewAster-Italic" w:hAnsi="NewAster-Italic" w:cs="NewAster-Italic"/>
          <w:i/>
          <w:iCs/>
          <w:sz w:val="23"/>
          <w:szCs w:val="17"/>
        </w:rPr>
        <w:t xml:space="preserve">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Alicante de 13 de diciembre de 2007. F) Sentencia de la Audiencia Provincial de</w:t>
      </w:r>
      <w:r>
        <w:rPr>
          <w:rFonts w:ascii="NewAster-Italic" w:hAnsi="NewAster-Italic" w:cs="NewAster-Italic"/>
          <w:i/>
          <w:iCs/>
          <w:sz w:val="23"/>
          <w:szCs w:val="17"/>
        </w:rPr>
        <w:t xml:space="preserve">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Baleares de 11 de octubre de 2012</w:t>
      </w:r>
      <w:proofErr w:type="gramStart"/>
      <w:r w:rsidRPr="00797D66">
        <w:rPr>
          <w:rFonts w:ascii="NewAster-Italic" w:hAnsi="NewAster-Italic" w:cs="NewAster-Italic"/>
          <w:i/>
          <w:iCs/>
          <w:sz w:val="23"/>
          <w:szCs w:val="17"/>
        </w:rPr>
        <w:t>.—</w:t>
      </w:r>
      <w:proofErr w:type="gramEnd"/>
      <w:r w:rsidRPr="00797D66">
        <w:rPr>
          <w:rFonts w:ascii="NewAster" w:hAnsi="NewAster" w:cs="NewAster"/>
          <w:sz w:val="23"/>
          <w:szCs w:val="17"/>
        </w:rPr>
        <w:t>V. LA CRISIS MATRIMONIAL COMO CAUSA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797D66">
        <w:rPr>
          <w:rFonts w:ascii="NewAster" w:hAnsi="NewAster" w:cs="NewAster"/>
          <w:sz w:val="23"/>
          <w:szCs w:val="17"/>
        </w:rPr>
        <w:t xml:space="preserve">DE EXTINCIÓN DE LOS NEGOCIOS FIDUCIARIOS </w:t>
      </w:r>
      <w:r w:rsidRPr="00797D66">
        <w:rPr>
          <w:rFonts w:ascii="NewAster-Italic" w:hAnsi="NewAster-Italic" w:cs="NewAster-Italic"/>
          <w:i/>
          <w:iCs/>
          <w:sz w:val="23"/>
          <w:szCs w:val="17"/>
        </w:rPr>
        <w:t>CUM AMICO</w:t>
      </w:r>
      <w:r w:rsidRPr="00797D66">
        <w:rPr>
          <w:rFonts w:ascii="NewAster" w:hAnsi="NewAster" w:cs="NewAster"/>
          <w:sz w:val="23"/>
          <w:szCs w:val="17"/>
        </w:rPr>
        <w:t>.—VI. CONCLUSIONES</w:t>
      </w:r>
      <w:proofErr w:type="gramStart"/>
      <w:r w:rsidRPr="00797D66">
        <w:rPr>
          <w:rFonts w:ascii="NewAster" w:hAnsi="NewAster" w:cs="NewAster"/>
          <w:sz w:val="23"/>
          <w:szCs w:val="17"/>
        </w:rPr>
        <w:t>.—</w:t>
      </w:r>
      <w:proofErr w:type="gramEnd"/>
      <w:r w:rsidRPr="00797D66">
        <w:rPr>
          <w:rFonts w:ascii="NewAster" w:hAnsi="NewAster" w:cs="NewAster"/>
          <w:sz w:val="23"/>
          <w:szCs w:val="17"/>
        </w:rPr>
        <w:t>VII. BIBLIOGRAFÍA</w:t>
      </w:r>
      <w:proofErr w:type="gramStart"/>
      <w:r w:rsidRPr="00797D66">
        <w:rPr>
          <w:rFonts w:ascii="NewAster" w:hAnsi="NewAster" w:cs="NewAster"/>
          <w:sz w:val="23"/>
          <w:szCs w:val="17"/>
        </w:rPr>
        <w:t>.—</w:t>
      </w:r>
      <w:proofErr w:type="gramEnd"/>
      <w:r w:rsidRPr="00797D66">
        <w:rPr>
          <w:rFonts w:ascii="NewAster" w:hAnsi="NewAster" w:cs="NewAster"/>
          <w:sz w:val="23"/>
          <w:szCs w:val="17"/>
        </w:rPr>
        <w:t>VIII. ÍNDICE DE LAS RESOLUCIONES</w:t>
      </w:r>
    </w:p>
    <w:p w:rsidR="00671553" w:rsidRPr="00797D66" w:rsidRDefault="00797D66" w:rsidP="00797D66">
      <w:pPr>
        <w:jc w:val="both"/>
        <w:rPr>
          <w:sz w:val="32"/>
        </w:rPr>
      </w:pPr>
      <w:r w:rsidRPr="00797D66">
        <w:rPr>
          <w:rFonts w:ascii="NewAster" w:hAnsi="NewAster" w:cs="NewAster"/>
          <w:sz w:val="23"/>
          <w:szCs w:val="17"/>
        </w:rPr>
        <w:t>CITADAS.</w:t>
      </w:r>
    </w:p>
    <w:sectPr w:rsidR="00671553" w:rsidRPr="00797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66"/>
    <w:rsid w:val="00671553"/>
    <w:rsid w:val="007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2018-02-26T09:45:00Z</dcterms:created>
  <dcterms:modified xsi:type="dcterms:W3CDTF">2018-02-26T09:48:00Z</dcterms:modified>
</cp:coreProperties>
</file>