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AC" w:rsidRPr="00C432D6" w:rsidRDefault="00C432D6" w:rsidP="00C432D6">
      <w:pPr>
        <w:autoSpaceDE w:val="0"/>
        <w:autoSpaceDN w:val="0"/>
        <w:adjustRightInd w:val="0"/>
        <w:spacing w:after="0" w:line="240" w:lineRule="auto"/>
        <w:jc w:val="both"/>
        <w:rPr>
          <w:sz w:val="32"/>
        </w:rPr>
      </w:pPr>
      <w:r w:rsidRPr="00C432D6">
        <w:rPr>
          <w:rFonts w:ascii="NewAster-Italic" w:hAnsi="NewAster-Italic" w:cs="NewAster-Italic"/>
          <w:i/>
          <w:iCs/>
          <w:sz w:val="23"/>
          <w:szCs w:val="17"/>
        </w:rPr>
        <w:t xml:space="preserve">SUMARIO: </w:t>
      </w:r>
      <w:r w:rsidRPr="00C432D6">
        <w:rPr>
          <w:rFonts w:ascii="NewAster" w:hAnsi="NewAster" w:cs="NewAster"/>
          <w:sz w:val="23"/>
          <w:szCs w:val="17"/>
        </w:rPr>
        <w:t>I. PLANTEAMIENTO</w:t>
      </w:r>
      <w:proofErr w:type="gramStart"/>
      <w:r w:rsidRPr="00C432D6">
        <w:rPr>
          <w:rFonts w:ascii="NewAster" w:hAnsi="NewAster" w:cs="NewAster"/>
          <w:sz w:val="23"/>
          <w:szCs w:val="17"/>
        </w:rPr>
        <w:t>.—</w:t>
      </w:r>
      <w:proofErr w:type="gramEnd"/>
      <w:r w:rsidRPr="00C432D6">
        <w:rPr>
          <w:rFonts w:ascii="NewAster" w:hAnsi="NewAster" w:cs="NewAster"/>
          <w:sz w:val="23"/>
          <w:szCs w:val="17"/>
        </w:rPr>
        <w:t>II. DESISTIMIENTO DEL ARRENDATARIO</w:t>
      </w:r>
      <w:r>
        <w:rPr>
          <w:rFonts w:ascii="NewAster" w:hAnsi="NewAster" w:cs="NewAster"/>
          <w:sz w:val="23"/>
          <w:szCs w:val="17"/>
        </w:rPr>
        <w:t xml:space="preserve"> </w:t>
      </w:r>
      <w:bookmarkStart w:id="0" w:name="_GoBack"/>
      <w:bookmarkEnd w:id="0"/>
      <w:r w:rsidRPr="00C432D6">
        <w:rPr>
          <w:rFonts w:ascii="NewAster" w:hAnsi="NewAster" w:cs="NewAster"/>
          <w:sz w:val="23"/>
          <w:szCs w:val="17"/>
        </w:rPr>
        <w:t>COMO CAUSA DE EXTINCIÓN DEL CONTRATO DE ARRENDAMIENTO:</w:t>
      </w:r>
      <w:r>
        <w:rPr>
          <w:rFonts w:ascii="NewAster" w:hAnsi="NewAster" w:cs="NewAster"/>
          <w:sz w:val="23"/>
          <w:szCs w:val="17"/>
        </w:rPr>
        <w:t xml:space="preserve"> </w:t>
      </w:r>
      <w:r w:rsidRPr="00C432D6">
        <w:rPr>
          <w:rFonts w:ascii="NewAster-SC700" w:hAnsi="NewAster-SC700" w:cs="NewAster-SC700"/>
          <w:sz w:val="23"/>
          <w:szCs w:val="17"/>
        </w:rPr>
        <w:t xml:space="preserve">1. </w:t>
      </w:r>
      <w:proofErr w:type="spellStart"/>
      <w:r w:rsidRPr="00C432D6">
        <w:rPr>
          <w:rFonts w:ascii="NewAster-Italic-SC700" w:hAnsi="NewAster-Italic-SC700" w:cs="NewAster-Italic-SC700"/>
          <w:i/>
          <w:iCs/>
          <w:sz w:val="23"/>
          <w:szCs w:val="17"/>
        </w:rPr>
        <w:t>I</w:t>
      </w:r>
      <w:r w:rsidRPr="00C432D6">
        <w:rPr>
          <w:rFonts w:ascii="NewAster-Italic-SC700" w:hAnsi="NewAster-Italic-SC700" w:cs="NewAster-Italic-SC700"/>
          <w:i/>
          <w:iCs/>
          <w:sz w:val="18"/>
          <w:szCs w:val="12"/>
        </w:rPr>
        <w:t>ter</w:t>
      </w:r>
      <w:proofErr w:type="spellEnd"/>
      <w:r w:rsidRPr="00C432D6">
        <w:rPr>
          <w:rFonts w:ascii="NewAster-Italic-SC700" w:hAnsi="NewAster-Italic-SC700" w:cs="NewAster-Italic-SC700"/>
          <w:i/>
          <w:iCs/>
          <w:sz w:val="18"/>
          <w:szCs w:val="12"/>
        </w:rPr>
        <w:t xml:space="preserve"> </w:t>
      </w:r>
      <w:r w:rsidRPr="00C432D6">
        <w:rPr>
          <w:rFonts w:ascii="NewAster-SC700" w:hAnsi="NewAster-SC700" w:cs="NewAster-SC700"/>
          <w:sz w:val="18"/>
          <w:szCs w:val="12"/>
        </w:rPr>
        <w:t>normativo en la previsión de esta facultad del arrendatario</w:t>
      </w:r>
      <w:r w:rsidRPr="00C432D6">
        <w:rPr>
          <w:rFonts w:ascii="NewAster-SC700" w:hAnsi="NewAster-SC700" w:cs="NewAster-SC700"/>
          <w:sz w:val="23"/>
          <w:szCs w:val="17"/>
        </w:rPr>
        <w:t>. 2. L</w:t>
      </w:r>
      <w:r w:rsidRPr="00C432D6">
        <w:rPr>
          <w:rFonts w:ascii="NewAster-SC700" w:hAnsi="NewAster-SC700" w:cs="NewAster-SC700"/>
          <w:sz w:val="18"/>
          <w:szCs w:val="12"/>
        </w:rPr>
        <w:t>a jurisprudencia</w:t>
      </w:r>
      <w:r>
        <w:rPr>
          <w:rFonts w:ascii="NewAster-SC700" w:hAnsi="NewAster-SC700" w:cs="NewAster-SC700"/>
          <w:sz w:val="18"/>
          <w:szCs w:val="12"/>
        </w:rPr>
        <w:t xml:space="preserve"> </w:t>
      </w:r>
      <w:r w:rsidRPr="00C432D6">
        <w:rPr>
          <w:rFonts w:ascii="NewAster-SC700" w:hAnsi="NewAster-SC700" w:cs="NewAster-SC700"/>
          <w:sz w:val="18"/>
          <w:szCs w:val="12"/>
        </w:rPr>
        <w:t xml:space="preserve">del </w:t>
      </w:r>
      <w:r w:rsidRPr="00C432D6">
        <w:rPr>
          <w:rFonts w:ascii="NewAster-SC700" w:hAnsi="NewAster-SC700" w:cs="NewAster-SC700"/>
          <w:sz w:val="23"/>
          <w:szCs w:val="17"/>
        </w:rPr>
        <w:t>T</w:t>
      </w:r>
      <w:r w:rsidRPr="00C432D6">
        <w:rPr>
          <w:rFonts w:ascii="NewAster-SC700" w:hAnsi="NewAster-SC700" w:cs="NewAster-SC700"/>
          <w:sz w:val="18"/>
          <w:szCs w:val="12"/>
        </w:rPr>
        <w:t xml:space="preserve">ribunal </w:t>
      </w:r>
      <w:r w:rsidRPr="00C432D6">
        <w:rPr>
          <w:rFonts w:ascii="NewAster-SC700" w:hAnsi="NewAster-SC700" w:cs="NewAster-SC700"/>
          <w:sz w:val="23"/>
          <w:szCs w:val="17"/>
        </w:rPr>
        <w:t>S</w:t>
      </w:r>
      <w:r w:rsidRPr="00C432D6">
        <w:rPr>
          <w:rFonts w:ascii="NewAster-SC700" w:hAnsi="NewAster-SC700" w:cs="NewAster-SC700"/>
          <w:sz w:val="18"/>
          <w:szCs w:val="12"/>
        </w:rPr>
        <w:t>upremo sobre el reconocimiento del derecho de desistimiento</w:t>
      </w:r>
      <w:r>
        <w:rPr>
          <w:rFonts w:ascii="NewAster-SC700" w:hAnsi="NewAster-SC700" w:cs="NewAster-SC700"/>
          <w:sz w:val="18"/>
          <w:szCs w:val="12"/>
        </w:rPr>
        <w:t xml:space="preserve"> </w:t>
      </w:r>
      <w:r w:rsidRPr="00C432D6">
        <w:rPr>
          <w:rFonts w:ascii="NewAster-SC700" w:hAnsi="NewAster-SC700" w:cs="NewAster-SC700"/>
          <w:sz w:val="18"/>
          <w:szCs w:val="12"/>
        </w:rPr>
        <w:t>del arrendatario en arrendamientos para uso distinto al de vivienda</w:t>
      </w:r>
      <w:r w:rsidRPr="00C432D6">
        <w:rPr>
          <w:rFonts w:ascii="NewAster-SC700" w:hAnsi="NewAster-SC700" w:cs="NewAster-SC700"/>
          <w:sz w:val="23"/>
          <w:szCs w:val="17"/>
        </w:rPr>
        <w:t>. 3. A</w:t>
      </w:r>
      <w:r w:rsidRPr="00C432D6">
        <w:rPr>
          <w:rFonts w:ascii="NewAster-SC700" w:hAnsi="NewAster-SC700" w:cs="NewAster-SC700"/>
          <w:sz w:val="18"/>
          <w:szCs w:val="12"/>
        </w:rPr>
        <w:t>plicación</w:t>
      </w:r>
      <w:r>
        <w:rPr>
          <w:rFonts w:ascii="NewAster-SC700" w:hAnsi="NewAster-SC700" w:cs="NewAster-SC700"/>
          <w:sz w:val="18"/>
          <w:szCs w:val="12"/>
        </w:rPr>
        <w:t xml:space="preserve"> </w:t>
      </w:r>
      <w:r w:rsidRPr="00C432D6">
        <w:rPr>
          <w:rFonts w:ascii="NewAster-SC700" w:hAnsi="NewAster-SC700" w:cs="NewAster-SC700"/>
          <w:sz w:val="18"/>
          <w:szCs w:val="12"/>
        </w:rPr>
        <w:t xml:space="preserve">de la cláusula </w:t>
      </w:r>
      <w:proofErr w:type="spellStart"/>
      <w:r w:rsidRPr="00C432D6">
        <w:rPr>
          <w:rFonts w:ascii="NewAster-Italic-SC700" w:hAnsi="NewAster-Italic-SC700" w:cs="NewAster-Italic-SC700"/>
          <w:i/>
          <w:iCs/>
          <w:sz w:val="18"/>
          <w:szCs w:val="12"/>
        </w:rPr>
        <w:t>rebus</w:t>
      </w:r>
      <w:proofErr w:type="spellEnd"/>
      <w:r w:rsidRPr="00C432D6">
        <w:rPr>
          <w:rFonts w:ascii="NewAster-Italic-SC700" w:hAnsi="NewAster-Italic-SC700" w:cs="NewAster-Italic-SC700"/>
          <w:i/>
          <w:iCs/>
          <w:sz w:val="18"/>
          <w:szCs w:val="12"/>
        </w:rPr>
        <w:t xml:space="preserve"> sic </w:t>
      </w:r>
      <w:proofErr w:type="spellStart"/>
      <w:r w:rsidRPr="00C432D6">
        <w:rPr>
          <w:rFonts w:ascii="NewAster-Italic-SC700" w:hAnsi="NewAster-Italic-SC700" w:cs="NewAster-Italic-SC700"/>
          <w:i/>
          <w:iCs/>
          <w:sz w:val="18"/>
          <w:szCs w:val="12"/>
        </w:rPr>
        <w:t>stantibus</w:t>
      </w:r>
      <w:proofErr w:type="spellEnd"/>
      <w:proofErr w:type="gramStart"/>
      <w:r w:rsidRPr="00C432D6">
        <w:rPr>
          <w:rFonts w:ascii="NewAster-SC700" w:hAnsi="NewAster-SC700" w:cs="NewAster-SC700"/>
          <w:sz w:val="23"/>
          <w:szCs w:val="17"/>
        </w:rPr>
        <w:t>.—</w:t>
      </w:r>
      <w:proofErr w:type="gramEnd"/>
      <w:r w:rsidRPr="00C432D6">
        <w:rPr>
          <w:rFonts w:ascii="NewAster" w:hAnsi="NewAster" w:cs="NewAster"/>
          <w:sz w:val="23"/>
          <w:szCs w:val="17"/>
        </w:rPr>
        <w:t>III. CONCLUSIONES</w:t>
      </w:r>
      <w:proofErr w:type="gramStart"/>
      <w:r w:rsidRPr="00C432D6">
        <w:rPr>
          <w:rFonts w:ascii="NewAster" w:hAnsi="NewAster" w:cs="NewAster"/>
          <w:sz w:val="23"/>
          <w:szCs w:val="17"/>
        </w:rPr>
        <w:t>.—</w:t>
      </w:r>
      <w:proofErr w:type="gramEnd"/>
      <w:r w:rsidRPr="00C432D6">
        <w:rPr>
          <w:rFonts w:ascii="NewAster" w:hAnsi="NewAster" w:cs="NewAster"/>
          <w:sz w:val="23"/>
          <w:szCs w:val="17"/>
        </w:rPr>
        <w:t xml:space="preserve">ÍNDICE DE </w:t>
      </w:r>
      <w:r>
        <w:rPr>
          <w:rFonts w:ascii="NewAster" w:hAnsi="NewAster" w:cs="NewAster"/>
          <w:sz w:val="23"/>
          <w:szCs w:val="17"/>
        </w:rPr>
        <w:t>R</w:t>
      </w:r>
      <w:r w:rsidRPr="00C432D6">
        <w:rPr>
          <w:rFonts w:ascii="NewAster" w:hAnsi="NewAster" w:cs="NewAster"/>
          <w:sz w:val="23"/>
          <w:szCs w:val="17"/>
        </w:rPr>
        <w:t>ESOLUCIONES.</w:t>
      </w:r>
    </w:p>
    <w:sectPr w:rsidR="00DF1EAC" w:rsidRPr="00C432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Aster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-Italic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D6"/>
    <w:rsid w:val="00C432D6"/>
    <w:rsid w:val="00D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2018-02-26T11:30:00Z</dcterms:created>
  <dcterms:modified xsi:type="dcterms:W3CDTF">2018-02-26T11:31:00Z</dcterms:modified>
</cp:coreProperties>
</file>