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7C" w:rsidRPr="00945988" w:rsidRDefault="00945988" w:rsidP="00945988">
      <w:pPr>
        <w:autoSpaceDE w:val="0"/>
        <w:autoSpaceDN w:val="0"/>
        <w:adjustRightInd w:val="0"/>
        <w:spacing w:after="0" w:line="240" w:lineRule="auto"/>
        <w:jc w:val="both"/>
        <w:rPr>
          <w:sz w:val="32"/>
        </w:rPr>
      </w:pPr>
      <w:r w:rsidRPr="00945988">
        <w:rPr>
          <w:rFonts w:ascii="NewAster-Italic" w:hAnsi="NewAster-Italic" w:cs="NewAster-Italic"/>
          <w:i/>
          <w:iCs/>
          <w:sz w:val="23"/>
          <w:szCs w:val="17"/>
        </w:rPr>
        <w:t>SUMARIO</w:t>
      </w:r>
      <w:r w:rsidRPr="00945988">
        <w:rPr>
          <w:rFonts w:ascii="NewAster" w:hAnsi="NewAster" w:cs="NewAster"/>
          <w:sz w:val="23"/>
          <w:szCs w:val="17"/>
        </w:rPr>
        <w:t>: I. CONSIDERACIÓN INICIAL</w:t>
      </w:r>
      <w:proofErr w:type="gramStart"/>
      <w:r w:rsidRPr="00945988">
        <w:rPr>
          <w:rFonts w:ascii="NewAster" w:hAnsi="NewAster" w:cs="NewAster"/>
          <w:sz w:val="23"/>
          <w:szCs w:val="17"/>
        </w:rPr>
        <w:t>.—</w:t>
      </w:r>
      <w:proofErr w:type="gramEnd"/>
      <w:r w:rsidRPr="00945988">
        <w:rPr>
          <w:rFonts w:ascii="NewAster" w:hAnsi="NewAster" w:cs="NewAster"/>
          <w:sz w:val="23"/>
          <w:szCs w:val="17"/>
        </w:rPr>
        <w:t>II. LA SENTENCIA DEL TRIBUNAL</w:t>
      </w:r>
      <w:r>
        <w:rPr>
          <w:rFonts w:ascii="NewAster" w:hAnsi="NewAster" w:cs="NewAster"/>
          <w:sz w:val="23"/>
          <w:szCs w:val="17"/>
        </w:rPr>
        <w:t xml:space="preserve"> </w:t>
      </w:r>
      <w:r w:rsidRPr="00945988">
        <w:rPr>
          <w:rFonts w:ascii="NewAster" w:hAnsi="NewAster" w:cs="NewAster"/>
          <w:sz w:val="23"/>
          <w:szCs w:val="17"/>
        </w:rPr>
        <w:t xml:space="preserve">SUPERIOR DE JUSTICIA DE MADRID DE 20 DE JUNIO DE 2017: </w:t>
      </w:r>
      <w:r w:rsidRPr="00945988">
        <w:rPr>
          <w:rFonts w:ascii="NewAster-SC700" w:hAnsi="NewAster-SC700" w:cs="NewAster-SC700"/>
          <w:sz w:val="23"/>
          <w:szCs w:val="17"/>
        </w:rPr>
        <w:t>1. L</w:t>
      </w:r>
      <w:r w:rsidRPr="00945988">
        <w:rPr>
          <w:rFonts w:ascii="NewAster-SC700" w:hAnsi="NewAster-SC700" w:cs="NewAster-SC700"/>
          <w:sz w:val="18"/>
          <w:szCs w:val="12"/>
        </w:rPr>
        <w:t>os</w:t>
      </w:r>
      <w:r>
        <w:rPr>
          <w:rFonts w:ascii="NewAster-SC700" w:hAnsi="NewAster-SC700" w:cs="NewAster-SC700"/>
          <w:sz w:val="18"/>
          <w:szCs w:val="12"/>
        </w:rPr>
        <w:t xml:space="preserve"> </w:t>
      </w:r>
      <w:r w:rsidRPr="00945988">
        <w:rPr>
          <w:rFonts w:ascii="NewAster-SC700" w:hAnsi="NewAster-SC700" w:cs="NewAster-SC700"/>
          <w:sz w:val="18"/>
          <w:szCs w:val="12"/>
        </w:rPr>
        <w:t xml:space="preserve">términos de la sentencia del </w:t>
      </w:r>
      <w:r w:rsidRPr="00945988">
        <w:rPr>
          <w:rFonts w:ascii="NewAster-SC700" w:hAnsi="NewAster-SC700" w:cs="NewAster-SC700"/>
          <w:sz w:val="23"/>
          <w:szCs w:val="17"/>
        </w:rPr>
        <w:t>T</w:t>
      </w:r>
      <w:r w:rsidRPr="00945988">
        <w:rPr>
          <w:rFonts w:ascii="NewAster-SC700" w:hAnsi="NewAster-SC700" w:cs="NewAster-SC700"/>
          <w:sz w:val="18"/>
          <w:szCs w:val="12"/>
        </w:rPr>
        <w:t xml:space="preserve">ribunal </w:t>
      </w:r>
      <w:r w:rsidRPr="00945988">
        <w:rPr>
          <w:rFonts w:ascii="NewAster-SC700" w:hAnsi="NewAster-SC700" w:cs="NewAster-SC700"/>
          <w:sz w:val="23"/>
          <w:szCs w:val="17"/>
        </w:rPr>
        <w:t>S</w:t>
      </w:r>
      <w:r w:rsidRPr="00945988">
        <w:rPr>
          <w:rFonts w:ascii="NewAster-SC700" w:hAnsi="NewAster-SC700" w:cs="NewAster-SC700"/>
          <w:sz w:val="18"/>
          <w:szCs w:val="12"/>
        </w:rPr>
        <w:t xml:space="preserve">uperior de </w:t>
      </w:r>
      <w:r w:rsidRPr="00945988">
        <w:rPr>
          <w:rFonts w:ascii="NewAster-SC700" w:hAnsi="NewAster-SC700" w:cs="NewAster-SC700"/>
          <w:sz w:val="23"/>
          <w:szCs w:val="17"/>
        </w:rPr>
        <w:t>J</w:t>
      </w:r>
      <w:r w:rsidRPr="00945988">
        <w:rPr>
          <w:rFonts w:ascii="NewAster-SC700" w:hAnsi="NewAster-SC700" w:cs="NewAster-SC700"/>
          <w:sz w:val="18"/>
          <w:szCs w:val="12"/>
        </w:rPr>
        <w:t xml:space="preserve">usticia de </w:t>
      </w:r>
      <w:r w:rsidRPr="00945988">
        <w:rPr>
          <w:rFonts w:ascii="NewAster-SC700" w:hAnsi="NewAster-SC700" w:cs="NewAster-SC700"/>
          <w:sz w:val="23"/>
          <w:szCs w:val="17"/>
        </w:rPr>
        <w:t>M</w:t>
      </w:r>
      <w:r w:rsidRPr="00945988">
        <w:rPr>
          <w:rFonts w:ascii="NewAster-SC700" w:hAnsi="NewAster-SC700" w:cs="NewAster-SC700"/>
          <w:sz w:val="18"/>
          <w:szCs w:val="12"/>
        </w:rPr>
        <w:t xml:space="preserve">adrid de </w:t>
      </w:r>
      <w:r w:rsidRPr="00945988">
        <w:rPr>
          <w:rFonts w:ascii="NewAster-SC700" w:hAnsi="NewAster-SC700" w:cs="NewAster-SC700"/>
          <w:sz w:val="23"/>
          <w:szCs w:val="17"/>
        </w:rPr>
        <w:t xml:space="preserve">20 </w:t>
      </w:r>
      <w:r w:rsidRPr="00945988">
        <w:rPr>
          <w:rFonts w:ascii="NewAster-SC700" w:hAnsi="NewAster-SC700" w:cs="NewAster-SC700"/>
          <w:sz w:val="18"/>
          <w:szCs w:val="12"/>
        </w:rPr>
        <w:t>de junio</w:t>
      </w:r>
      <w:r>
        <w:rPr>
          <w:rFonts w:ascii="NewAster-SC700" w:hAnsi="NewAster-SC700" w:cs="NewAster-SC700"/>
          <w:sz w:val="18"/>
          <w:szCs w:val="12"/>
        </w:rPr>
        <w:t xml:space="preserve"> </w:t>
      </w:r>
      <w:r w:rsidRPr="00945988">
        <w:rPr>
          <w:rFonts w:ascii="NewAster-SC700" w:hAnsi="NewAster-SC700" w:cs="NewAster-SC700"/>
          <w:sz w:val="18"/>
          <w:szCs w:val="12"/>
        </w:rPr>
        <w:t xml:space="preserve">de </w:t>
      </w:r>
      <w:r w:rsidRPr="00945988">
        <w:rPr>
          <w:rFonts w:ascii="NewAster-SC700" w:hAnsi="NewAster-SC700" w:cs="NewAster-SC700"/>
          <w:sz w:val="23"/>
          <w:szCs w:val="17"/>
        </w:rPr>
        <w:t>2017. 2. C</w:t>
      </w:r>
      <w:r w:rsidRPr="00945988">
        <w:rPr>
          <w:rFonts w:ascii="NewAster-SC700" w:hAnsi="NewAster-SC700" w:cs="NewAster-SC700"/>
          <w:sz w:val="18"/>
          <w:szCs w:val="12"/>
        </w:rPr>
        <w:t>onsideración final</w:t>
      </w:r>
      <w:proofErr w:type="gramStart"/>
      <w:r w:rsidRPr="00945988">
        <w:rPr>
          <w:rFonts w:ascii="NewAster" w:hAnsi="NewAster" w:cs="NewAster"/>
          <w:sz w:val="23"/>
          <w:szCs w:val="17"/>
        </w:rPr>
        <w:t>.—</w:t>
      </w:r>
      <w:proofErr w:type="gramEnd"/>
      <w:r w:rsidRPr="00945988">
        <w:rPr>
          <w:rFonts w:ascii="NewAster" w:hAnsi="NewAster" w:cs="NewAster"/>
          <w:sz w:val="23"/>
          <w:szCs w:val="17"/>
        </w:rPr>
        <w:t>III. LA COMPATIBILIDAD DEL CARÁCTER NO</w:t>
      </w:r>
      <w:r>
        <w:rPr>
          <w:rFonts w:ascii="NewAster" w:hAnsi="NewAster" w:cs="NewAster"/>
          <w:sz w:val="23"/>
          <w:szCs w:val="17"/>
        </w:rPr>
        <w:t xml:space="preserve"> </w:t>
      </w:r>
      <w:r w:rsidRPr="00945988">
        <w:rPr>
          <w:rFonts w:ascii="NewAster" w:hAnsi="NewAster" w:cs="NewAster"/>
          <w:sz w:val="23"/>
          <w:szCs w:val="17"/>
        </w:rPr>
        <w:t>CONSTITUTIVO DE LA INSCRIPCIÓN CON SU OBLIGATORIEDAD</w:t>
      </w:r>
      <w:proofErr w:type="gramStart"/>
      <w:r w:rsidRPr="00945988">
        <w:rPr>
          <w:rFonts w:ascii="NewAster" w:hAnsi="NewAster" w:cs="NewAster"/>
          <w:sz w:val="23"/>
          <w:szCs w:val="17"/>
        </w:rPr>
        <w:t>.—</w:t>
      </w:r>
      <w:proofErr w:type="gramEnd"/>
      <w:r w:rsidRPr="00945988">
        <w:rPr>
          <w:rFonts w:ascii="NewAster" w:hAnsi="NewAster" w:cs="NewAster"/>
          <w:sz w:val="23"/>
          <w:szCs w:val="17"/>
        </w:rPr>
        <w:t>IV. SOBRE</w:t>
      </w:r>
      <w:r>
        <w:rPr>
          <w:rFonts w:ascii="NewAster" w:hAnsi="NewAster" w:cs="NewAster"/>
          <w:sz w:val="23"/>
          <w:szCs w:val="17"/>
        </w:rPr>
        <w:t xml:space="preserve"> </w:t>
      </w:r>
      <w:r w:rsidRPr="00945988">
        <w:rPr>
          <w:rFonts w:ascii="NewAster" w:hAnsi="NewAster" w:cs="NewAster"/>
          <w:sz w:val="23"/>
          <w:szCs w:val="17"/>
        </w:rPr>
        <w:t>EL CARÁCTER OBLIGATORIO DE LA INSCRIPCIÓN DEL PROYECTO DE</w:t>
      </w:r>
      <w:r>
        <w:rPr>
          <w:rFonts w:ascii="NewAster" w:hAnsi="NewAster" w:cs="NewAster"/>
          <w:sz w:val="23"/>
          <w:szCs w:val="17"/>
        </w:rPr>
        <w:t xml:space="preserve"> </w:t>
      </w:r>
      <w:r w:rsidRPr="00945988">
        <w:rPr>
          <w:rFonts w:ascii="NewAster" w:hAnsi="NewAster" w:cs="NewAster"/>
          <w:sz w:val="23"/>
          <w:szCs w:val="17"/>
        </w:rPr>
        <w:t xml:space="preserve">EQUIDISTRIBUCIÓN: </w:t>
      </w:r>
      <w:r w:rsidRPr="00945988">
        <w:rPr>
          <w:rFonts w:ascii="NewAster-SC700" w:hAnsi="NewAster-SC700" w:cs="NewAster-SC700"/>
          <w:sz w:val="23"/>
          <w:szCs w:val="17"/>
        </w:rPr>
        <w:t>1. B</w:t>
      </w:r>
      <w:r w:rsidRPr="00945988">
        <w:rPr>
          <w:rFonts w:ascii="NewAster-SC700" w:hAnsi="NewAster-SC700" w:cs="NewAster-SC700"/>
          <w:sz w:val="18"/>
          <w:szCs w:val="12"/>
        </w:rPr>
        <w:t xml:space="preserve">reve referencia a la </w:t>
      </w:r>
      <w:r>
        <w:rPr>
          <w:rFonts w:ascii="NewAster-SC700" w:hAnsi="NewAster-SC700" w:cs="NewAster-SC700"/>
          <w:sz w:val="18"/>
          <w:szCs w:val="12"/>
        </w:rPr>
        <w:t>c</w:t>
      </w:r>
      <w:r w:rsidRPr="00945988">
        <w:rPr>
          <w:rFonts w:ascii="NewAster-SC700" w:hAnsi="NewAster-SC700" w:cs="NewAster-SC700"/>
          <w:sz w:val="18"/>
          <w:szCs w:val="12"/>
        </w:rPr>
        <w:t>oordinación de la acción urbanística</w:t>
      </w:r>
      <w:r>
        <w:rPr>
          <w:rFonts w:ascii="NewAster-SC700" w:hAnsi="NewAster-SC700" w:cs="NewAster-SC700"/>
          <w:sz w:val="18"/>
          <w:szCs w:val="12"/>
        </w:rPr>
        <w:t xml:space="preserve"> </w:t>
      </w:r>
      <w:r w:rsidRPr="00945988">
        <w:rPr>
          <w:rFonts w:ascii="NewAster-SC700" w:hAnsi="NewAster-SC700" w:cs="NewAster-SC700"/>
          <w:sz w:val="18"/>
          <w:szCs w:val="12"/>
        </w:rPr>
        <w:t xml:space="preserve">con el </w:t>
      </w:r>
      <w:r w:rsidRPr="00945988">
        <w:rPr>
          <w:rFonts w:ascii="NewAster-SC700" w:hAnsi="NewAster-SC700" w:cs="NewAster-SC700"/>
          <w:sz w:val="23"/>
          <w:szCs w:val="17"/>
        </w:rPr>
        <w:t>R</w:t>
      </w:r>
      <w:r w:rsidRPr="00945988">
        <w:rPr>
          <w:rFonts w:ascii="NewAster-SC700" w:hAnsi="NewAster-SC700" w:cs="NewAster-SC700"/>
          <w:sz w:val="18"/>
          <w:szCs w:val="12"/>
        </w:rPr>
        <w:t xml:space="preserve">egistro de la </w:t>
      </w:r>
      <w:r w:rsidRPr="00945988">
        <w:rPr>
          <w:rFonts w:ascii="NewAster-SC700" w:hAnsi="NewAster-SC700" w:cs="NewAster-SC700"/>
          <w:sz w:val="23"/>
          <w:szCs w:val="17"/>
        </w:rPr>
        <w:t>P</w:t>
      </w:r>
      <w:r w:rsidRPr="00945988">
        <w:rPr>
          <w:rFonts w:ascii="NewAster-SC700" w:hAnsi="NewAster-SC700" w:cs="NewAster-SC700"/>
          <w:sz w:val="18"/>
          <w:szCs w:val="12"/>
        </w:rPr>
        <w:t>ropiedad</w:t>
      </w:r>
      <w:r w:rsidRPr="00945988">
        <w:rPr>
          <w:rFonts w:ascii="NewAster-SC700" w:hAnsi="NewAster-SC700" w:cs="NewAster-SC700"/>
          <w:sz w:val="23"/>
          <w:szCs w:val="17"/>
        </w:rPr>
        <w:t>. 2. E</w:t>
      </w:r>
      <w:r w:rsidRPr="00945988">
        <w:rPr>
          <w:rFonts w:ascii="NewAster-SC700" w:hAnsi="NewAster-SC700" w:cs="NewAster-SC700"/>
          <w:sz w:val="18"/>
          <w:szCs w:val="12"/>
        </w:rPr>
        <w:t>l carácter obligatorio de la inscripción</w:t>
      </w:r>
      <w:r>
        <w:rPr>
          <w:rFonts w:ascii="NewAster-SC700" w:hAnsi="NewAster-SC700" w:cs="NewAster-SC700"/>
          <w:sz w:val="18"/>
          <w:szCs w:val="12"/>
        </w:rPr>
        <w:t xml:space="preserve"> </w:t>
      </w:r>
      <w:r w:rsidRPr="00945988">
        <w:rPr>
          <w:rFonts w:ascii="NewAster-SC700" w:hAnsi="NewAster-SC700" w:cs="NewAster-SC700"/>
          <w:sz w:val="18"/>
          <w:szCs w:val="12"/>
        </w:rPr>
        <w:t xml:space="preserve">del </w:t>
      </w:r>
      <w:r w:rsidRPr="00945988">
        <w:rPr>
          <w:rFonts w:ascii="NewAster-SC700" w:hAnsi="NewAster-SC700" w:cs="NewAster-SC700"/>
          <w:sz w:val="23"/>
          <w:szCs w:val="17"/>
        </w:rPr>
        <w:t>P</w:t>
      </w:r>
      <w:r w:rsidRPr="00945988">
        <w:rPr>
          <w:rFonts w:ascii="NewAster-SC700" w:hAnsi="NewAster-SC700" w:cs="NewAster-SC700"/>
          <w:sz w:val="18"/>
          <w:szCs w:val="12"/>
        </w:rPr>
        <w:t xml:space="preserve">royecto de </w:t>
      </w:r>
      <w:r w:rsidRPr="00945988">
        <w:rPr>
          <w:rFonts w:ascii="NewAster-SC700" w:hAnsi="NewAster-SC700" w:cs="NewAster-SC700"/>
          <w:sz w:val="23"/>
          <w:szCs w:val="17"/>
        </w:rPr>
        <w:t>R</w:t>
      </w:r>
      <w:r w:rsidRPr="00945988">
        <w:rPr>
          <w:rFonts w:ascii="NewAster-SC700" w:hAnsi="NewAster-SC700" w:cs="NewAster-SC700"/>
          <w:sz w:val="18"/>
          <w:szCs w:val="12"/>
        </w:rPr>
        <w:t>eparcelación</w:t>
      </w:r>
      <w:proofErr w:type="gramStart"/>
      <w:r w:rsidRPr="00945988">
        <w:rPr>
          <w:rFonts w:ascii="NewAster" w:hAnsi="NewAster" w:cs="NewAster"/>
          <w:sz w:val="23"/>
          <w:szCs w:val="17"/>
        </w:rPr>
        <w:t>.—</w:t>
      </w:r>
      <w:proofErr w:type="gramEnd"/>
      <w:r w:rsidRPr="00945988">
        <w:rPr>
          <w:rFonts w:ascii="NewAster" w:hAnsi="NewAster" w:cs="NewAster"/>
          <w:sz w:val="23"/>
          <w:szCs w:val="17"/>
        </w:rPr>
        <w:t>V. LA POSICIÓN DE LA JUNTA DE COMPENSACIÓN</w:t>
      </w:r>
      <w:r>
        <w:rPr>
          <w:rFonts w:ascii="NewAster" w:hAnsi="NewAster" w:cs="NewAster"/>
          <w:sz w:val="23"/>
          <w:szCs w:val="17"/>
        </w:rPr>
        <w:t xml:space="preserve"> </w:t>
      </w:r>
      <w:bookmarkStart w:id="0" w:name="_GoBack"/>
      <w:bookmarkEnd w:id="0"/>
      <w:r w:rsidRPr="00945988">
        <w:rPr>
          <w:rFonts w:ascii="NewAster" w:hAnsi="NewAster" w:cs="NewAster"/>
          <w:sz w:val="23"/>
          <w:szCs w:val="17"/>
        </w:rPr>
        <w:t>ANTE LA INSCRIPCIÓN DEL PROYECTO DE REPARCELACIÓN.</w:t>
      </w:r>
    </w:p>
    <w:sectPr w:rsidR="00935D7C" w:rsidRPr="00945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Aste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88"/>
    <w:rsid w:val="00935D7C"/>
    <w:rsid w:val="0094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2018-02-26T12:18:00Z</dcterms:created>
  <dcterms:modified xsi:type="dcterms:W3CDTF">2018-02-26T12:20:00Z</dcterms:modified>
</cp:coreProperties>
</file>