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1B" w:rsidRPr="00C6037D" w:rsidRDefault="00C6037D" w:rsidP="00C6037D">
      <w:pPr>
        <w:autoSpaceDE w:val="0"/>
        <w:autoSpaceDN w:val="0"/>
        <w:adjustRightInd w:val="0"/>
        <w:spacing w:after="0" w:line="240" w:lineRule="auto"/>
        <w:jc w:val="both"/>
        <w:rPr>
          <w:sz w:val="32"/>
        </w:rPr>
      </w:pPr>
      <w:r w:rsidRPr="00C6037D">
        <w:rPr>
          <w:rFonts w:ascii="NewAster-Italic" w:hAnsi="NewAster-Italic" w:cs="NewAster-Italic"/>
          <w:i/>
          <w:iCs/>
          <w:sz w:val="23"/>
          <w:szCs w:val="17"/>
        </w:rPr>
        <w:t xml:space="preserve">SUMARIO: </w:t>
      </w:r>
      <w:r w:rsidRPr="00C6037D">
        <w:rPr>
          <w:rFonts w:ascii="NewAster" w:hAnsi="NewAster" w:cs="NewAster"/>
          <w:sz w:val="23"/>
          <w:szCs w:val="17"/>
        </w:rPr>
        <w:t>I. PLANTEAMIENTO PRELIMINAR: LA LEY PERSONAL Y LA</w:t>
      </w:r>
      <w:r w:rsidRPr="00C6037D">
        <w:rPr>
          <w:rFonts w:ascii="NewAster" w:hAnsi="NewAster" w:cs="NewAster"/>
          <w:sz w:val="23"/>
          <w:szCs w:val="17"/>
        </w:rPr>
        <w:t xml:space="preserve"> </w:t>
      </w:r>
      <w:r w:rsidRPr="00C6037D">
        <w:rPr>
          <w:rFonts w:ascii="NewAster" w:hAnsi="NewAster" w:cs="NewAster"/>
          <w:sz w:val="23"/>
          <w:szCs w:val="17"/>
        </w:rPr>
        <w:t>INTERNACIONALIZACIÓN DEL DERECHO DE SUCESIONES</w:t>
      </w:r>
      <w:proofErr w:type="gramStart"/>
      <w:r w:rsidRPr="00C6037D">
        <w:rPr>
          <w:rFonts w:ascii="NewAster" w:hAnsi="NewAster" w:cs="NewAster"/>
          <w:sz w:val="23"/>
          <w:szCs w:val="17"/>
        </w:rPr>
        <w:t>.—</w:t>
      </w:r>
      <w:proofErr w:type="gramEnd"/>
      <w:r w:rsidRPr="00C6037D">
        <w:rPr>
          <w:rFonts w:ascii="NewAster" w:hAnsi="NewAster" w:cs="NewAster"/>
          <w:sz w:val="23"/>
          <w:szCs w:val="17"/>
        </w:rPr>
        <w:t>II. SUPUESTOS</w:t>
      </w:r>
      <w:r w:rsidRPr="00C6037D">
        <w:rPr>
          <w:rFonts w:ascii="NewAster" w:hAnsi="NewAster" w:cs="NewAster"/>
          <w:sz w:val="23"/>
          <w:szCs w:val="17"/>
        </w:rPr>
        <w:t xml:space="preserve"> </w:t>
      </w:r>
      <w:r w:rsidRPr="00C6037D">
        <w:rPr>
          <w:rFonts w:ascii="NewAster" w:hAnsi="NewAster" w:cs="NewAster"/>
          <w:sz w:val="23"/>
          <w:szCs w:val="17"/>
        </w:rPr>
        <w:t xml:space="preserve">ESPONTÁNEOS: LOS DERECHOS DEL CÓNYUGE SUPERSTITE: </w:t>
      </w:r>
      <w:r w:rsidRPr="00C6037D">
        <w:rPr>
          <w:rFonts w:ascii="NewAster-SC700" w:hAnsi="NewAster-SC700" w:cs="NewAster-SC700"/>
          <w:sz w:val="23"/>
          <w:szCs w:val="17"/>
        </w:rPr>
        <w:t>1. A</w:t>
      </w:r>
      <w:r w:rsidRPr="00C6037D">
        <w:rPr>
          <w:rFonts w:ascii="NewAster-SC700" w:hAnsi="NewAster-SC700" w:cs="NewAster-SC700"/>
          <w:sz w:val="18"/>
          <w:szCs w:val="12"/>
        </w:rPr>
        <w:t>proximación</w:t>
      </w:r>
      <w:r w:rsidRPr="00C6037D">
        <w:rPr>
          <w:rFonts w:ascii="NewAster-SC700" w:hAnsi="NewAster-SC700" w:cs="NewAster-SC700"/>
          <w:sz w:val="18"/>
          <w:szCs w:val="12"/>
        </w:rPr>
        <w:t xml:space="preserve"> </w:t>
      </w:r>
      <w:r w:rsidRPr="00C6037D">
        <w:rPr>
          <w:rFonts w:ascii="NewAster-SC700" w:hAnsi="NewAster-SC700" w:cs="NewAster-SC700"/>
          <w:sz w:val="18"/>
          <w:szCs w:val="12"/>
        </w:rPr>
        <w:t>normativa</w:t>
      </w:r>
      <w:r w:rsidRPr="00C6037D">
        <w:rPr>
          <w:rFonts w:ascii="NewAster-SC700" w:hAnsi="NewAster-SC700" w:cs="NewAster-SC700"/>
          <w:sz w:val="23"/>
          <w:szCs w:val="17"/>
        </w:rPr>
        <w:t>. 2. E</w:t>
      </w:r>
      <w:r w:rsidRPr="00C6037D">
        <w:rPr>
          <w:rFonts w:ascii="NewAster-SC700" w:hAnsi="NewAster-SC700" w:cs="NewAster-SC700"/>
          <w:sz w:val="18"/>
          <w:szCs w:val="12"/>
        </w:rPr>
        <w:t xml:space="preserve">l </w:t>
      </w:r>
      <w:r w:rsidRPr="00C6037D">
        <w:rPr>
          <w:rFonts w:ascii="NewAster-SC700" w:hAnsi="NewAster-SC700" w:cs="NewAster-SC700"/>
          <w:sz w:val="23"/>
          <w:szCs w:val="17"/>
        </w:rPr>
        <w:t>R</w:t>
      </w:r>
      <w:r w:rsidRPr="00C6037D">
        <w:rPr>
          <w:rFonts w:ascii="NewAster-SC700" w:hAnsi="NewAster-SC700" w:cs="NewAster-SC700"/>
          <w:sz w:val="18"/>
          <w:szCs w:val="12"/>
        </w:rPr>
        <w:t xml:space="preserve">eglamento </w:t>
      </w:r>
      <w:r w:rsidRPr="00C6037D">
        <w:rPr>
          <w:rFonts w:ascii="NewAster-SC700" w:hAnsi="NewAster-SC700" w:cs="NewAster-SC700"/>
          <w:sz w:val="23"/>
          <w:szCs w:val="17"/>
        </w:rPr>
        <w:t xml:space="preserve">650/2012, </w:t>
      </w:r>
      <w:r w:rsidRPr="00C6037D">
        <w:rPr>
          <w:rFonts w:ascii="NewAster-SC700" w:hAnsi="NewAster-SC700" w:cs="NewAster-SC700"/>
          <w:sz w:val="18"/>
          <w:szCs w:val="12"/>
        </w:rPr>
        <w:t xml:space="preserve">de </w:t>
      </w:r>
      <w:r w:rsidRPr="00C6037D">
        <w:rPr>
          <w:rFonts w:ascii="NewAster-SC700" w:hAnsi="NewAster-SC700" w:cs="NewAster-SC700"/>
          <w:sz w:val="23"/>
          <w:szCs w:val="17"/>
        </w:rPr>
        <w:t xml:space="preserve">4 </w:t>
      </w:r>
      <w:r w:rsidRPr="00C6037D">
        <w:rPr>
          <w:rFonts w:ascii="NewAster-SC700" w:hAnsi="NewAster-SC700" w:cs="NewAster-SC700"/>
          <w:sz w:val="18"/>
          <w:szCs w:val="12"/>
        </w:rPr>
        <w:t>de julio</w:t>
      </w:r>
      <w:r w:rsidRPr="00C6037D">
        <w:rPr>
          <w:rFonts w:ascii="NewAster-SC700" w:hAnsi="NewAster-SC700" w:cs="NewAster-SC700"/>
          <w:sz w:val="23"/>
          <w:szCs w:val="17"/>
        </w:rPr>
        <w:t xml:space="preserve">, </w:t>
      </w:r>
      <w:r w:rsidRPr="00C6037D">
        <w:rPr>
          <w:rFonts w:ascii="NewAster-SC700" w:hAnsi="NewAster-SC700" w:cs="NewAster-SC700"/>
          <w:sz w:val="18"/>
          <w:szCs w:val="12"/>
        </w:rPr>
        <w:t xml:space="preserve">del </w:t>
      </w:r>
      <w:r w:rsidRPr="00C6037D">
        <w:rPr>
          <w:rFonts w:ascii="NewAster-SC700" w:hAnsi="NewAster-SC700" w:cs="NewAster-SC700"/>
          <w:sz w:val="23"/>
          <w:szCs w:val="17"/>
        </w:rPr>
        <w:t>P</w:t>
      </w:r>
      <w:r w:rsidRPr="00C6037D">
        <w:rPr>
          <w:rFonts w:ascii="NewAster-SC700" w:hAnsi="NewAster-SC700" w:cs="NewAster-SC700"/>
          <w:sz w:val="18"/>
          <w:szCs w:val="12"/>
        </w:rPr>
        <w:t>arlamento</w:t>
      </w:r>
      <w:r w:rsidRPr="00C6037D">
        <w:rPr>
          <w:rFonts w:ascii="NewAster-SC700" w:hAnsi="NewAster-SC700" w:cs="NewAster-SC700"/>
          <w:sz w:val="18"/>
          <w:szCs w:val="12"/>
        </w:rPr>
        <w:t xml:space="preserve"> </w:t>
      </w:r>
      <w:r w:rsidRPr="00C6037D">
        <w:rPr>
          <w:rFonts w:ascii="NewAster-SC700" w:hAnsi="NewAster-SC700" w:cs="NewAster-SC700"/>
          <w:sz w:val="18"/>
          <w:szCs w:val="12"/>
        </w:rPr>
        <w:t xml:space="preserve">europeo y del </w:t>
      </w:r>
      <w:r w:rsidRPr="00C6037D">
        <w:rPr>
          <w:rFonts w:ascii="NewAster-SC700" w:hAnsi="NewAster-SC700" w:cs="NewAster-SC700"/>
          <w:sz w:val="23"/>
          <w:szCs w:val="17"/>
        </w:rPr>
        <w:t>C</w:t>
      </w:r>
      <w:r w:rsidRPr="00C6037D">
        <w:rPr>
          <w:rFonts w:ascii="NewAster-SC700" w:hAnsi="NewAster-SC700" w:cs="NewAster-SC700"/>
          <w:sz w:val="18"/>
          <w:szCs w:val="12"/>
        </w:rPr>
        <w:t xml:space="preserve">onsejo </w:t>
      </w:r>
      <w:r w:rsidRPr="00C6037D">
        <w:rPr>
          <w:rFonts w:ascii="NewAster-SC700" w:hAnsi="NewAster-SC700" w:cs="NewAster-SC700"/>
          <w:sz w:val="23"/>
          <w:szCs w:val="17"/>
        </w:rPr>
        <w:t>(</w:t>
      </w:r>
      <w:r w:rsidR="007B14C0">
        <w:rPr>
          <w:rFonts w:ascii="NewAster" w:hAnsi="NewAster" w:cs="NewAster"/>
          <w:sz w:val="23"/>
          <w:szCs w:val="17"/>
        </w:rPr>
        <w:t>DOUE</w:t>
      </w:r>
      <w:bookmarkStart w:id="0" w:name="_GoBack"/>
      <w:bookmarkEnd w:id="0"/>
      <w:r w:rsidRPr="00C6037D">
        <w:rPr>
          <w:rFonts w:ascii="NewAster" w:hAnsi="NewAster" w:cs="NewAster"/>
          <w:sz w:val="23"/>
          <w:szCs w:val="17"/>
        </w:rPr>
        <w:t xml:space="preserve"> </w:t>
      </w:r>
      <w:r w:rsidRPr="00C6037D">
        <w:rPr>
          <w:rFonts w:ascii="NewAster-SC700" w:hAnsi="NewAster-SC700" w:cs="NewAster-SC700"/>
          <w:sz w:val="18"/>
          <w:szCs w:val="12"/>
        </w:rPr>
        <w:t xml:space="preserve">de </w:t>
      </w:r>
      <w:r w:rsidRPr="00C6037D">
        <w:rPr>
          <w:rFonts w:ascii="NewAster-SC700" w:hAnsi="NewAster-SC700" w:cs="NewAster-SC700"/>
          <w:sz w:val="23"/>
          <w:szCs w:val="17"/>
        </w:rPr>
        <w:t xml:space="preserve">21 </w:t>
      </w:r>
      <w:r w:rsidRPr="00C6037D">
        <w:rPr>
          <w:rFonts w:ascii="NewAster-SC700" w:hAnsi="NewAster-SC700" w:cs="NewAster-SC700"/>
          <w:sz w:val="18"/>
          <w:szCs w:val="12"/>
        </w:rPr>
        <w:t xml:space="preserve">de julio de </w:t>
      </w:r>
      <w:r w:rsidRPr="00C6037D">
        <w:rPr>
          <w:rFonts w:ascii="NewAster-SC700" w:hAnsi="NewAster-SC700" w:cs="NewAster-SC700"/>
          <w:sz w:val="23"/>
          <w:szCs w:val="17"/>
        </w:rPr>
        <w:t>2012).—</w:t>
      </w:r>
      <w:r w:rsidRPr="00C6037D">
        <w:rPr>
          <w:rFonts w:ascii="NewAster" w:hAnsi="NewAster" w:cs="NewAster"/>
          <w:sz w:val="23"/>
          <w:szCs w:val="17"/>
        </w:rPr>
        <w:t>III. LAS SUCESIONES</w:t>
      </w:r>
      <w:r w:rsidRPr="00C6037D">
        <w:rPr>
          <w:rFonts w:ascii="NewAster" w:hAnsi="NewAster" w:cs="NewAster"/>
          <w:sz w:val="23"/>
          <w:szCs w:val="17"/>
        </w:rPr>
        <w:t xml:space="preserve"> </w:t>
      </w:r>
      <w:r w:rsidRPr="00C6037D">
        <w:rPr>
          <w:rFonts w:ascii="NewAster" w:hAnsi="NewAster" w:cs="NewAster"/>
          <w:sz w:val="23"/>
          <w:szCs w:val="17"/>
        </w:rPr>
        <w:t xml:space="preserve">TRANSFRONTERIZAS: </w:t>
      </w:r>
      <w:r w:rsidRPr="00C6037D">
        <w:rPr>
          <w:rFonts w:ascii="NewAster-SC700" w:hAnsi="NewAster-SC700" w:cs="NewAster-SC700"/>
          <w:sz w:val="23"/>
          <w:szCs w:val="17"/>
        </w:rPr>
        <w:t>1. P</w:t>
      </w:r>
      <w:r w:rsidRPr="00C6037D">
        <w:rPr>
          <w:rFonts w:ascii="NewAster-SC700" w:hAnsi="NewAster-SC700" w:cs="NewAster-SC700"/>
          <w:sz w:val="18"/>
          <w:szCs w:val="12"/>
        </w:rPr>
        <w:t>unto de conexión</w:t>
      </w:r>
      <w:r w:rsidRPr="00C6037D">
        <w:rPr>
          <w:rFonts w:ascii="NewAster-SC700" w:hAnsi="NewAster-SC700" w:cs="NewAster-SC700"/>
          <w:sz w:val="23"/>
          <w:szCs w:val="17"/>
        </w:rPr>
        <w:t xml:space="preserve">: </w:t>
      </w:r>
      <w:r w:rsidRPr="00C6037D">
        <w:rPr>
          <w:rFonts w:ascii="NewAster-SC700" w:hAnsi="NewAster-SC700" w:cs="NewAster-SC700"/>
          <w:sz w:val="18"/>
          <w:szCs w:val="12"/>
        </w:rPr>
        <w:t>la residencia habitual</w:t>
      </w:r>
      <w:r w:rsidRPr="00C6037D">
        <w:rPr>
          <w:rFonts w:ascii="NewAster-SC700" w:hAnsi="NewAster-SC700" w:cs="NewAster-SC700"/>
          <w:sz w:val="23"/>
          <w:szCs w:val="17"/>
        </w:rPr>
        <w:t>. 2. L</w:t>
      </w:r>
      <w:r w:rsidRPr="00C6037D">
        <w:rPr>
          <w:rFonts w:ascii="NewAster-SC700" w:hAnsi="NewAster-SC700" w:cs="NewAster-SC700"/>
          <w:sz w:val="18"/>
          <w:szCs w:val="12"/>
        </w:rPr>
        <w:t>a unidad</w:t>
      </w:r>
      <w:r w:rsidRPr="00C6037D">
        <w:rPr>
          <w:rFonts w:ascii="NewAster-SC700" w:hAnsi="NewAster-SC700" w:cs="NewAster-SC700"/>
          <w:sz w:val="18"/>
          <w:szCs w:val="12"/>
        </w:rPr>
        <w:t xml:space="preserve"> </w:t>
      </w:r>
      <w:r w:rsidRPr="00C6037D">
        <w:rPr>
          <w:rFonts w:ascii="NewAster-SC700" w:hAnsi="NewAster-SC700" w:cs="NewAster-SC700"/>
          <w:sz w:val="18"/>
          <w:szCs w:val="12"/>
        </w:rPr>
        <w:t>sucesoria</w:t>
      </w:r>
      <w:r w:rsidRPr="00C6037D">
        <w:rPr>
          <w:rFonts w:ascii="NewAster-SC700" w:hAnsi="NewAster-SC700" w:cs="NewAster-SC700"/>
          <w:sz w:val="23"/>
          <w:szCs w:val="17"/>
        </w:rPr>
        <w:t>. 3. C</w:t>
      </w:r>
      <w:r w:rsidRPr="00C6037D">
        <w:rPr>
          <w:rFonts w:ascii="NewAster-SC700" w:hAnsi="NewAster-SC700" w:cs="NewAster-SC700"/>
          <w:sz w:val="18"/>
          <w:szCs w:val="12"/>
        </w:rPr>
        <w:t>onsecuencias de la elección de la ley y la protección de las personas</w:t>
      </w:r>
      <w:r w:rsidRPr="00C6037D">
        <w:rPr>
          <w:rFonts w:ascii="NewAster-SC700" w:hAnsi="NewAster-SC700" w:cs="NewAster-SC700"/>
          <w:sz w:val="18"/>
          <w:szCs w:val="12"/>
        </w:rPr>
        <w:t xml:space="preserve"> </w:t>
      </w:r>
      <w:r w:rsidRPr="00C6037D">
        <w:rPr>
          <w:rFonts w:ascii="NewAster-SC700" w:hAnsi="NewAster-SC700" w:cs="NewAster-SC700"/>
          <w:sz w:val="18"/>
          <w:szCs w:val="12"/>
        </w:rPr>
        <w:t>en situación de vulnerabilidad</w:t>
      </w:r>
      <w:r w:rsidRPr="00C6037D">
        <w:rPr>
          <w:rFonts w:ascii="NewAster-SC700" w:hAnsi="NewAster-SC700" w:cs="NewAster-SC700"/>
          <w:sz w:val="23"/>
          <w:szCs w:val="17"/>
        </w:rPr>
        <w:t>. 4. L</w:t>
      </w:r>
      <w:r w:rsidRPr="00C6037D">
        <w:rPr>
          <w:rFonts w:ascii="NewAster-SC700" w:hAnsi="NewAster-SC700" w:cs="NewAster-SC700"/>
          <w:sz w:val="18"/>
          <w:szCs w:val="12"/>
        </w:rPr>
        <w:t>a libertad de testar y la autonomía sucesoria</w:t>
      </w:r>
      <w:r w:rsidRPr="00C6037D">
        <w:rPr>
          <w:rFonts w:ascii="NewAster-SC700" w:hAnsi="NewAster-SC700" w:cs="NewAster-SC700"/>
          <w:sz w:val="23"/>
          <w:szCs w:val="17"/>
        </w:rPr>
        <w:t>.</w:t>
      </w:r>
      <w:r w:rsidRPr="00C6037D">
        <w:rPr>
          <w:rFonts w:ascii="NewAster-SC700" w:hAnsi="NewAster-SC700" w:cs="NewAster-SC700"/>
          <w:sz w:val="23"/>
          <w:szCs w:val="17"/>
        </w:rPr>
        <w:t xml:space="preserve"> </w:t>
      </w:r>
      <w:r w:rsidRPr="00C6037D">
        <w:rPr>
          <w:rFonts w:ascii="NewAster-SC700" w:hAnsi="NewAster-SC700" w:cs="NewAster-SC700"/>
          <w:sz w:val="23"/>
          <w:szCs w:val="17"/>
        </w:rPr>
        <w:t>5. L</w:t>
      </w:r>
      <w:r w:rsidRPr="00C6037D">
        <w:rPr>
          <w:rFonts w:ascii="NewAster-SC700" w:hAnsi="NewAster-SC700" w:cs="NewAster-SC700"/>
          <w:sz w:val="18"/>
          <w:szCs w:val="12"/>
        </w:rPr>
        <w:t>ibertad de testar y paraísos hereditarios</w:t>
      </w:r>
      <w:r w:rsidRPr="00C6037D">
        <w:rPr>
          <w:rFonts w:ascii="NewAster-SC700" w:hAnsi="NewAster-SC700" w:cs="NewAster-SC700"/>
          <w:sz w:val="23"/>
          <w:szCs w:val="17"/>
        </w:rPr>
        <w:t>. 6. V</w:t>
      </w:r>
      <w:r w:rsidRPr="00C6037D">
        <w:rPr>
          <w:rFonts w:ascii="NewAster-SC700" w:hAnsi="NewAster-SC700" w:cs="NewAster-SC700"/>
          <w:sz w:val="18"/>
          <w:szCs w:val="12"/>
        </w:rPr>
        <w:t>ertientes de la autonomía privada</w:t>
      </w:r>
      <w:r w:rsidRPr="00C6037D">
        <w:rPr>
          <w:rFonts w:ascii="NewAster-SC700" w:hAnsi="NewAster-SC700" w:cs="NewAster-SC700"/>
          <w:sz w:val="18"/>
          <w:szCs w:val="12"/>
        </w:rPr>
        <w:t xml:space="preserve"> </w:t>
      </w:r>
      <w:r w:rsidRPr="00C6037D">
        <w:rPr>
          <w:rFonts w:ascii="NewAster-SC700" w:hAnsi="NewAster-SC700" w:cs="NewAster-SC700"/>
          <w:sz w:val="18"/>
          <w:szCs w:val="12"/>
        </w:rPr>
        <w:t>en el ámbito sucesorio internacional</w:t>
      </w:r>
      <w:r w:rsidRPr="00C6037D">
        <w:rPr>
          <w:rFonts w:ascii="NewAster-SC700" w:hAnsi="NewAster-SC700" w:cs="NewAster-SC700"/>
          <w:sz w:val="23"/>
          <w:szCs w:val="17"/>
        </w:rPr>
        <w:t>. 7. L</w:t>
      </w:r>
      <w:r w:rsidRPr="00C6037D">
        <w:rPr>
          <w:rFonts w:ascii="NewAster-SC700" w:hAnsi="NewAster-SC700" w:cs="NewAster-SC700"/>
          <w:sz w:val="18"/>
          <w:szCs w:val="12"/>
        </w:rPr>
        <w:t>as sucesiones de extranjeros con inmuebles</w:t>
      </w:r>
      <w:r w:rsidRPr="00C6037D">
        <w:rPr>
          <w:rFonts w:ascii="NewAster-SC700" w:hAnsi="NewAster-SC700" w:cs="NewAster-SC700"/>
          <w:sz w:val="18"/>
          <w:szCs w:val="12"/>
        </w:rPr>
        <w:t xml:space="preserve"> </w:t>
      </w:r>
      <w:r w:rsidRPr="00C6037D">
        <w:rPr>
          <w:rFonts w:ascii="NewAster-SC700" w:hAnsi="NewAster-SC700" w:cs="NewAster-SC700"/>
          <w:sz w:val="18"/>
          <w:szCs w:val="12"/>
        </w:rPr>
        <w:t xml:space="preserve">en </w:t>
      </w:r>
      <w:r w:rsidRPr="00C6037D">
        <w:rPr>
          <w:rFonts w:ascii="NewAster-SC700" w:hAnsi="NewAster-SC700" w:cs="NewAster-SC700"/>
          <w:sz w:val="23"/>
          <w:szCs w:val="17"/>
        </w:rPr>
        <w:t>E</w:t>
      </w:r>
      <w:r w:rsidRPr="00C6037D">
        <w:rPr>
          <w:rFonts w:ascii="NewAster-SC700" w:hAnsi="NewAster-SC700" w:cs="NewAster-SC700"/>
          <w:sz w:val="18"/>
          <w:szCs w:val="12"/>
        </w:rPr>
        <w:t>spaña</w:t>
      </w:r>
      <w:proofErr w:type="gramStart"/>
      <w:r w:rsidRPr="00C6037D">
        <w:rPr>
          <w:rFonts w:ascii="NewAster-SC700" w:hAnsi="NewAster-SC700" w:cs="NewAster-SC700"/>
          <w:sz w:val="23"/>
          <w:szCs w:val="17"/>
        </w:rPr>
        <w:t>.—</w:t>
      </w:r>
      <w:proofErr w:type="gramEnd"/>
      <w:r w:rsidRPr="00C6037D">
        <w:rPr>
          <w:rFonts w:ascii="NewAster" w:hAnsi="NewAster" w:cs="NewAster"/>
          <w:sz w:val="23"/>
          <w:szCs w:val="17"/>
        </w:rPr>
        <w:t xml:space="preserve">III. EXCEPCIÓN EN PRO DE LA </w:t>
      </w:r>
      <w:r w:rsidRPr="00C6037D">
        <w:rPr>
          <w:rFonts w:ascii="NewAster-Italic" w:hAnsi="NewAster-Italic" w:cs="NewAster-Italic"/>
          <w:i/>
          <w:iCs/>
          <w:sz w:val="23"/>
          <w:szCs w:val="17"/>
        </w:rPr>
        <w:t xml:space="preserve">LEX REI SITAE: </w:t>
      </w:r>
      <w:r w:rsidRPr="00C6037D">
        <w:rPr>
          <w:rFonts w:ascii="NewAster" w:hAnsi="NewAster" w:cs="NewAster"/>
          <w:sz w:val="23"/>
          <w:szCs w:val="17"/>
        </w:rPr>
        <w:t>LA TRONCALIDAD</w:t>
      </w:r>
      <w:r w:rsidRPr="00C6037D">
        <w:rPr>
          <w:rFonts w:ascii="NewAster" w:hAnsi="NewAster" w:cs="NewAster"/>
          <w:sz w:val="23"/>
          <w:szCs w:val="17"/>
        </w:rPr>
        <w:t xml:space="preserve"> </w:t>
      </w:r>
      <w:r w:rsidRPr="00C6037D">
        <w:rPr>
          <w:rFonts w:ascii="NewAster" w:hAnsi="NewAster" w:cs="NewAster"/>
          <w:sz w:val="23"/>
          <w:szCs w:val="17"/>
        </w:rPr>
        <w:t>FORAL VASCA Y ARAGONESA</w:t>
      </w:r>
      <w:proofErr w:type="gramStart"/>
      <w:r w:rsidRPr="00C6037D">
        <w:rPr>
          <w:rFonts w:ascii="NewAster" w:hAnsi="NewAster" w:cs="NewAster"/>
          <w:sz w:val="23"/>
          <w:szCs w:val="17"/>
        </w:rPr>
        <w:t>.—</w:t>
      </w:r>
      <w:proofErr w:type="gramEnd"/>
      <w:r w:rsidRPr="00C6037D">
        <w:rPr>
          <w:rFonts w:ascii="NewAster" w:hAnsi="NewAster" w:cs="NewAster"/>
          <w:sz w:val="23"/>
          <w:szCs w:val="17"/>
        </w:rPr>
        <w:t>IV. CONCLUSIONES</w:t>
      </w:r>
      <w:proofErr w:type="gramStart"/>
      <w:r w:rsidRPr="00C6037D">
        <w:rPr>
          <w:rFonts w:ascii="NewAster" w:hAnsi="NewAster" w:cs="NewAster"/>
          <w:sz w:val="23"/>
          <w:szCs w:val="17"/>
        </w:rPr>
        <w:t>.—</w:t>
      </w:r>
      <w:proofErr w:type="gramEnd"/>
      <w:r w:rsidRPr="00C6037D">
        <w:rPr>
          <w:rFonts w:ascii="NewAster" w:hAnsi="NewAster" w:cs="NewAster"/>
          <w:sz w:val="23"/>
          <w:szCs w:val="17"/>
        </w:rPr>
        <w:t>V. BIBLIOGRAFÍA.</w:t>
      </w:r>
      <w:r w:rsidRPr="00C6037D">
        <w:rPr>
          <w:rFonts w:ascii="NewAster" w:hAnsi="NewAster" w:cs="NewAster"/>
          <w:sz w:val="23"/>
          <w:szCs w:val="17"/>
        </w:rPr>
        <w:t xml:space="preserve"> </w:t>
      </w:r>
      <w:r w:rsidRPr="00C6037D">
        <w:rPr>
          <w:rFonts w:ascii="NewAster" w:hAnsi="NewAster" w:cs="NewAster"/>
          <w:sz w:val="23"/>
          <w:szCs w:val="17"/>
        </w:rPr>
        <w:t>—VI. RESOLUCIONES CITADAS.</w:t>
      </w:r>
    </w:p>
    <w:sectPr w:rsidR="0000791B" w:rsidRPr="00C60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7D"/>
    <w:rsid w:val="0000791B"/>
    <w:rsid w:val="007B14C0"/>
    <w:rsid w:val="00C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2018-02-26T10:57:00Z</dcterms:created>
  <dcterms:modified xsi:type="dcterms:W3CDTF">2018-02-26T11:01:00Z</dcterms:modified>
</cp:coreProperties>
</file>