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4B" w:rsidRDefault="00496D4B" w:rsidP="00496D4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SUMARIO:</w:t>
      </w:r>
    </w:p>
    <w:p w:rsidR="0073453C" w:rsidRDefault="00496D4B" w:rsidP="00496D4B">
      <w:r>
        <w:rPr>
          <w:rFonts w:ascii="Times New Roman" w:hAnsi="Times New Roman"/>
          <w:sz w:val="24"/>
          <w:szCs w:val="24"/>
        </w:rPr>
        <w:t>I. PLANTEAMIENTO Y VISIÓN PANORÁMICA DE LAS TESIS SOBRE LA NATURALEZA JURÍDICA DE LA PARTICIÓN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GENERALIZACIÓN DE LA TESIS DETERMINATIVA O ESPECIFICATIVA: 1. REVISIÓN DE LA DOCTRINA CONTEMPORÁNEA. 2. ANÁLISIS JURISPRUDENCIAL: CONSAGRACIÓN DE LA TESIS DEL EFECTO DETERMINATIVO O ESPECIFICATIVO DE LA PARTICIÓN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PARTICIÓN DE LA HERENCIA VERSUS DIVISIÓN DE LA COSA COMÚN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APLICACIONES PRÁCTICAS DE LA DETERMINACIÓN DE LA NATURALEZA JURÍDICA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CONCLUSIONES.—VI. BIBLIOGRAFÍA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VII. ANEXO JURISPRUDENCIAL</w:t>
      </w:r>
      <w:bookmarkStart w:id="0" w:name="_GoBack"/>
      <w:bookmarkEnd w:id="0"/>
    </w:p>
    <w:sectPr w:rsidR="007345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4B"/>
    <w:rsid w:val="00496D4B"/>
    <w:rsid w:val="0073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4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2018-01-16T10:11:00Z</dcterms:created>
  <dcterms:modified xsi:type="dcterms:W3CDTF">2018-01-16T10:12:00Z</dcterms:modified>
</cp:coreProperties>
</file>