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649" w:rsidRDefault="00F86649" w:rsidP="00F866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SUMARIO:</w:t>
      </w:r>
    </w:p>
    <w:p w:rsidR="00F86649" w:rsidRDefault="00F86649" w:rsidP="00F86649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I. INTRODUCCIÓN.—II. TIPOLOGÍA DE DERIVADOS CONCERTADOS POR LAS </w:t>
      </w:r>
      <w:r>
        <w:rPr>
          <w:rFonts w:ascii="Times New Roman" w:hAnsi="Times New Roman"/>
          <w:caps/>
          <w:sz w:val="24"/>
        </w:rPr>
        <w:t>SOCIMIS</w:t>
      </w:r>
      <w:r>
        <w:rPr>
          <w:rFonts w:ascii="Times New Roman" w:hAnsi="Times New Roman"/>
          <w:sz w:val="24"/>
        </w:rPr>
        <w:t xml:space="preserve">.—III. DOCUMENTACIÓN.—IV. DIMENSIÓN SOCIETARIA: CAPACIDAD DE LA </w:t>
      </w:r>
      <w:r>
        <w:rPr>
          <w:rFonts w:ascii="Times New Roman" w:hAnsi="Times New Roman"/>
          <w:caps/>
          <w:sz w:val="24"/>
        </w:rPr>
        <w:t>SOCIMI</w:t>
      </w:r>
      <w:r>
        <w:rPr>
          <w:rFonts w:ascii="Times New Roman" w:hAnsi="Times New Roman"/>
          <w:sz w:val="24"/>
        </w:rPr>
        <w:t xml:space="preserve"> PARA CONCERTAR DERIVADOS. —V. DIMENSIÓN DEL MERCADO DE VALORES: OBLIGACIONES DERIVADAS DE LA CONCERTACIÓN DE DERIVADOS POR LA </w:t>
      </w:r>
      <w:r>
        <w:rPr>
          <w:rFonts w:ascii="Times New Roman" w:hAnsi="Times New Roman"/>
          <w:caps/>
          <w:sz w:val="24"/>
        </w:rPr>
        <w:t>SOCIMI</w:t>
      </w:r>
      <w:r>
        <w:rPr>
          <w:rFonts w:ascii="Times New Roman" w:hAnsi="Times New Roman"/>
          <w:sz w:val="24"/>
        </w:rPr>
        <w:t>.—VI. DIMENSIÓN CONCURSAL: POSIBILIDAD DE VENCIMIENTO ANTICIPADO.—VII. CONCLUSIONES.—ÍNDICE.—BIBLIOGRAFÍA.</w:t>
      </w:r>
    </w:p>
    <w:p w:rsidR="005A216A" w:rsidRDefault="005A216A">
      <w:bookmarkStart w:id="0" w:name="_GoBack"/>
      <w:bookmarkEnd w:id="0"/>
    </w:p>
    <w:sectPr w:rsidR="005A21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49"/>
    <w:rsid w:val="005A216A"/>
    <w:rsid w:val="00F8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649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649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2018-01-17T10:20:00Z</dcterms:created>
  <dcterms:modified xsi:type="dcterms:W3CDTF">2018-01-17T10:21:00Z</dcterms:modified>
</cp:coreProperties>
</file>