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7D" w:rsidRDefault="00BC207D" w:rsidP="00BC20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SUMARIO:</w:t>
      </w:r>
    </w:p>
    <w:p w:rsidR="00BC207D" w:rsidRDefault="00BC207D" w:rsidP="00BC207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ANTECEDENTES Y CONTENIDO DE LA RESOLUCIÓN DE 21 DE JUNIO DE 2017: 1. CONSIDERACIÓN INICIAL. 2. LOS MOTIVOS CONSIGNADOS EN LA NOTA DE CALIFICACIÓN. 3. BREVE REFERENCIA AL RECURSO GUBERNATIVO. 4. LOS FUNDAMENTOS DE LA RESOLUCIÓN DE 21 DE JUNIO DE 2017</w:t>
      </w:r>
      <w:proofErr w:type="gramStart"/>
      <w:r>
        <w:rPr>
          <w:rFonts w:ascii="Times New Roman" w:hAnsi="Times New Roman"/>
          <w:sz w:val="24"/>
          <w:szCs w:val="24"/>
        </w:rPr>
        <w:t>.—</w:t>
      </w:r>
      <w:proofErr w:type="gramEnd"/>
      <w:r>
        <w:rPr>
          <w:rFonts w:ascii="Times New Roman" w:hAnsi="Times New Roman"/>
          <w:sz w:val="24"/>
          <w:szCs w:val="24"/>
        </w:rPr>
        <w:t>II. SÍNTESIS DE LA DOCTRINA DE LA DIRECCIÓN GENERAL HASTA LA RESOLUCIÓN DE 21 DE JUNIO DE 2017</w:t>
      </w:r>
      <w:proofErr w:type="gramStart"/>
      <w:r>
        <w:rPr>
          <w:rFonts w:ascii="Times New Roman" w:hAnsi="Times New Roman"/>
          <w:sz w:val="24"/>
          <w:szCs w:val="24"/>
        </w:rPr>
        <w:t>.—</w:t>
      </w:r>
      <w:proofErr w:type="gramEnd"/>
      <w:r>
        <w:rPr>
          <w:rFonts w:ascii="Times New Roman" w:hAnsi="Times New Roman"/>
          <w:sz w:val="24"/>
          <w:szCs w:val="24"/>
        </w:rPr>
        <w:t>III. SOBRE LA RENOVACIÓN DE LA AFECCIÓN REGISTRAL DE LOS GASTOS DE URBANIZACIÓN</w:t>
      </w:r>
      <w:proofErr w:type="gramStart"/>
      <w:r>
        <w:rPr>
          <w:rFonts w:ascii="Times New Roman" w:hAnsi="Times New Roman"/>
          <w:sz w:val="24"/>
          <w:szCs w:val="24"/>
        </w:rPr>
        <w:t>.—</w:t>
      </w:r>
      <w:proofErr w:type="gramEnd"/>
      <w:r>
        <w:rPr>
          <w:rFonts w:ascii="Times New Roman" w:hAnsi="Times New Roman"/>
          <w:sz w:val="24"/>
          <w:szCs w:val="24"/>
        </w:rPr>
        <w:t>IV. EN CUANTO A LA POSICIÓN DEL TERCER ADQUIRENTE CON EL PROYECTO DE REPARCELACIÓN INSCRITO Y LA AFECCIÓN CADUCADA QUE NO SE HUBIERA SUBROGADO EN EL PAGO DE LOS GASTOS DE URBANIZACIÓN: 1. LA CONDICIÓN DE TERCEROS ADQUIRENTES, POSEEDORES DE BUENA FE, DE LOS ADQUIRENTES DE PARCELAS DE RESULTADO O VIVIENDAS. 2. LA TRASLACIÓN DE LAS OBLIGACIONES A LOS SUBROGADOS LEGALES</w:t>
      </w:r>
      <w:proofErr w:type="gramStart"/>
      <w:r>
        <w:rPr>
          <w:rFonts w:ascii="Times New Roman" w:hAnsi="Times New Roman"/>
          <w:sz w:val="24"/>
          <w:szCs w:val="24"/>
        </w:rPr>
        <w:t>.—</w:t>
      </w:r>
      <w:proofErr w:type="gramEnd"/>
      <w:r>
        <w:rPr>
          <w:rFonts w:ascii="Times New Roman" w:hAnsi="Times New Roman"/>
          <w:sz w:val="24"/>
          <w:szCs w:val="24"/>
        </w:rPr>
        <w:t>V. LA POSICIÓN DE LAS JUNTAS DE COMPENSACIÓN EN EL PROCEDIMIENTO DE RECLAMACIÓN: 1. LA NATURALEZA DE LA JUNTA Y SU PROYECCIÓN SOBRE LOS TERCEROS POSEEDORES. 2. LA ESTRUCTURA JURÍDICA DE LA OBLIGACIÓN Y SU INCIDENCIA PROCESAL.</w:t>
      </w:r>
    </w:p>
    <w:p w:rsidR="009E25CB" w:rsidRDefault="009E25CB">
      <w:bookmarkStart w:id="0" w:name="_GoBack"/>
      <w:bookmarkEnd w:id="0"/>
    </w:p>
    <w:sectPr w:rsidR="009E25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7D"/>
    <w:rsid w:val="009E25CB"/>
    <w:rsid w:val="00BC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07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07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2018-01-16T12:47:00Z</dcterms:created>
  <dcterms:modified xsi:type="dcterms:W3CDTF">2018-01-16T12:48:00Z</dcterms:modified>
</cp:coreProperties>
</file>