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24" w:rsidRDefault="005F1C24" w:rsidP="005F1C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SUMARIO:</w:t>
      </w:r>
    </w:p>
    <w:p w:rsidR="005F1C24" w:rsidRDefault="005F1C24" w:rsidP="005F1C24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INTRODUCCIÓN</w:t>
      </w:r>
      <w:proofErr w:type="gramStart"/>
      <w:r>
        <w:rPr>
          <w:rFonts w:ascii="Times New Roman" w:hAnsi="Times New Roman"/>
          <w:sz w:val="24"/>
        </w:rPr>
        <w:t>.—</w:t>
      </w:r>
      <w:proofErr w:type="gramEnd"/>
      <w:r>
        <w:rPr>
          <w:rFonts w:ascii="Times New Roman" w:hAnsi="Times New Roman"/>
          <w:sz w:val="24"/>
        </w:rPr>
        <w:t>II. EL BENEFICIO DE LA EXONERACIÓN DEL PASIVO INSATISFECHO: ARTÍCULO 178 BIS. DE LA LEY CONCURSAL: 2.1. REQUISITOS GENERALES: 2.1.1. Requisitos subjetivos. 2.1.2. Requisitos objetivos. 2.2. REQUISITOS FORMALES: LOS COMUNES A TODO DEUDOR: 2.2.1. La calificación del concurso: artículo 178 bis. 3.1</w:t>
      </w:r>
      <w:proofErr w:type="gramStart"/>
      <w:r>
        <w:rPr>
          <w:rFonts w:ascii="Times New Roman" w:hAnsi="Times New Roman"/>
          <w:sz w:val="24"/>
        </w:rPr>
        <w:t>.a</w:t>
      </w:r>
      <w:proofErr w:type="gramEnd"/>
      <w:r>
        <w:rPr>
          <w:rFonts w:ascii="Times New Roman" w:hAnsi="Times New Roman"/>
          <w:sz w:val="24"/>
        </w:rPr>
        <w:t xml:space="preserve"> de la Ley Concursal. 2.2.2. La no comisión de delitos: artículo 178 bis. 3.2</w:t>
      </w:r>
      <w:proofErr w:type="gramStart"/>
      <w:r>
        <w:rPr>
          <w:rFonts w:ascii="Times New Roman" w:hAnsi="Times New Roman"/>
          <w:sz w:val="24"/>
        </w:rPr>
        <w:t>.a</w:t>
      </w:r>
      <w:proofErr w:type="gramEnd"/>
      <w:r>
        <w:rPr>
          <w:rFonts w:ascii="Times New Roman" w:hAnsi="Times New Roman"/>
          <w:sz w:val="24"/>
        </w:rPr>
        <w:t xml:space="preserve"> de la Ley Concursal. 2.2.3. Que haya celebrado o intentado un acuerdo extrajudicial de pagos: artículo 178 bis. 3.3</w:t>
      </w:r>
      <w:proofErr w:type="gramStart"/>
      <w:r>
        <w:rPr>
          <w:rFonts w:ascii="Times New Roman" w:hAnsi="Times New Roman"/>
          <w:sz w:val="24"/>
        </w:rPr>
        <w:t>.a</w:t>
      </w:r>
      <w:proofErr w:type="gramEnd"/>
      <w:r>
        <w:rPr>
          <w:rFonts w:ascii="Times New Roman" w:hAnsi="Times New Roman"/>
          <w:sz w:val="24"/>
        </w:rPr>
        <w:t>. 2.3. REQUISITOS ESPECÍFICOS A CADA DEUDOR: 2.3.1. La alternativa del artículo 178 bis. 3.5</w:t>
      </w:r>
      <w:proofErr w:type="gramStart"/>
      <w:r>
        <w:rPr>
          <w:rFonts w:ascii="Times New Roman" w:hAnsi="Times New Roman"/>
          <w:sz w:val="24"/>
        </w:rPr>
        <w:t>.°</w:t>
      </w:r>
      <w:proofErr w:type="gramEnd"/>
      <w:r>
        <w:rPr>
          <w:rFonts w:ascii="Times New Roman" w:hAnsi="Times New Roman"/>
          <w:sz w:val="24"/>
        </w:rPr>
        <w:t xml:space="preserve"> de la Ley Concursal. 2.3.2. Extensión de la exoneración: artículo 178 bis. 5. De la Ley Concursal. 2.3.3. La ordenación de las deudas no exoneradas: artículo 178 bis. 6 de la Ley Concursal</w:t>
      </w:r>
      <w:proofErr w:type="gramStart"/>
      <w:r>
        <w:rPr>
          <w:rFonts w:ascii="Times New Roman" w:hAnsi="Times New Roman"/>
          <w:sz w:val="24"/>
        </w:rPr>
        <w:t>.—</w:t>
      </w:r>
      <w:proofErr w:type="gramEnd"/>
      <w:r>
        <w:rPr>
          <w:rFonts w:ascii="Times New Roman" w:hAnsi="Times New Roman"/>
          <w:sz w:val="24"/>
        </w:rPr>
        <w:t>III. LA REVOCACIÓN DEL BENEFICIO DE LA EXONE-RACIÓN DEL PASIVO INSATISFECHO: ARTÍCULO 178 BIS. 7 DE LA LEY CONCURSAL: 3.1. LEGITIMACIÓN ACTIVA. 3.2. MOTIVOS PARA SOLICITAR LA REVOCACIÓN: 3.2.1. Circunstancias que hubieran impedido la concesión del beneficio. 3.2.2. Incumplimiento de la obligación de pago. 3.2.3. Mejora en la situación económica del deudor. 3.3. EFECTOS DE LA REVOCACIÓN.</w:t>
      </w:r>
    </w:p>
    <w:p w:rsidR="00CF041B" w:rsidRDefault="00CF041B">
      <w:bookmarkStart w:id="0" w:name="_GoBack"/>
      <w:bookmarkEnd w:id="0"/>
    </w:p>
    <w:sectPr w:rsidR="00CF0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24"/>
    <w:rsid w:val="005F1C24"/>
    <w:rsid w:val="00C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2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2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2018-01-17T09:33:00Z</dcterms:created>
  <dcterms:modified xsi:type="dcterms:W3CDTF">2018-01-17T09:34:00Z</dcterms:modified>
</cp:coreProperties>
</file>