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83F" w:rsidRDefault="00DB183F" w:rsidP="00DB18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SUMARIO:</w:t>
      </w:r>
    </w:p>
    <w:p w:rsidR="00DB183F" w:rsidRDefault="00DB183F" w:rsidP="00DB183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PLANTEAMIENTO DE LA CUESTIÓN</w:t>
      </w:r>
      <w:proofErr w:type="gramStart"/>
      <w:r>
        <w:rPr>
          <w:rFonts w:ascii="Times New Roman" w:hAnsi="Times New Roman"/>
          <w:sz w:val="24"/>
          <w:szCs w:val="24"/>
        </w:rPr>
        <w:t>.—</w:t>
      </w:r>
      <w:proofErr w:type="gramEnd"/>
      <w:r>
        <w:rPr>
          <w:rFonts w:ascii="Times New Roman" w:hAnsi="Times New Roman"/>
          <w:sz w:val="24"/>
          <w:szCs w:val="24"/>
        </w:rPr>
        <w:t>II. CALIFICACIÓN DE LOS INGRESOS DEL PROGENITOR Y CUANTÍA DE LA PENSIÓN</w:t>
      </w:r>
      <w:proofErr w:type="gramStart"/>
      <w:r>
        <w:rPr>
          <w:rFonts w:ascii="Times New Roman" w:hAnsi="Times New Roman"/>
          <w:sz w:val="24"/>
          <w:szCs w:val="24"/>
        </w:rPr>
        <w:t>.—</w:t>
      </w:r>
      <w:proofErr w:type="gramEnd"/>
      <w:r>
        <w:rPr>
          <w:rFonts w:ascii="Times New Roman" w:hAnsi="Times New Roman"/>
          <w:sz w:val="24"/>
          <w:szCs w:val="24"/>
        </w:rPr>
        <w:t>III. INCUMPLIMIENTO GRAVE Y REITERADO DEL PAGO DE LA PENSIÓN DE ALIMENTOS Y PRIVACIÓN DE LA PATRIA POTESTAD</w:t>
      </w:r>
      <w:proofErr w:type="gramStart"/>
      <w:r>
        <w:rPr>
          <w:rFonts w:ascii="Times New Roman" w:hAnsi="Times New Roman"/>
          <w:sz w:val="24"/>
          <w:szCs w:val="24"/>
        </w:rPr>
        <w:t>.—</w:t>
      </w:r>
      <w:proofErr w:type="gramEnd"/>
      <w:r>
        <w:rPr>
          <w:rFonts w:ascii="Times New Roman" w:hAnsi="Times New Roman"/>
          <w:sz w:val="24"/>
          <w:szCs w:val="24"/>
        </w:rPr>
        <w:t>IV. LA AUSENCIA DE RELACIÓN AFECTIVA ENTRE PADRE E HIJA COMO CAUSA DE LA EXTINCIÓN DE LA PENSIÓN ALIMENTICIA</w:t>
      </w:r>
      <w:proofErr w:type="gramStart"/>
      <w:r>
        <w:rPr>
          <w:rFonts w:ascii="Times New Roman" w:hAnsi="Times New Roman"/>
          <w:sz w:val="24"/>
          <w:szCs w:val="24"/>
        </w:rPr>
        <w:t>.—</w:t>
      </w:r>
      <w:proofErr w:type="gramEnd"/>
      <w:r>
        <w:rPr>
          <w:rFonts w:ascii="Times New Roman" w:hAnsi="Times New Roman"/>
          <w:sz w:val="24"/>
          <w:szCs w:val="24"/>
        </w:rPr>
        <w:t>V. CONCLUSIONES.—VI. BIBLIOGRAFÍA</w:t>
      </w:r>
      <w:proofErr w:type="gramStart"/>
      <w:r>
        <w:rPr>
          <w:rFonts w:ascii="Times New Roman" w:hAnsi="Times New Roman"/>
          <w:sz w:val="24"/>
          <w:szCs w:val="24"/>
        </w:rPr>
        <w:t>.—</w:t>
      </w:r>
      <w:proofErr w:type="gramEnd"/>
      <w:r>
        <w:rPr>
          <w:rFonts w:ascii="Times New Roman" w:hAnsi="Times New Roman"/>
          <w:sz w:val="24"/>
          <w:szCs w:val="24"/>
        </w:rPr>
        <w:t>VII. ÍNDICE DE SENTENCIAS (DEL TS Y AP) CITADAS POR ORDEN CRONOLÓGICO</w:t>
      </w:r>
      <w:proofErr w:type="gramStart"/>
      <w:r>
        <w:rPr>
          <w:rFonts w:ascii="Times New Roman" w:hAnsi="Times New Roman"/>
          <w:sz w:val="24"/>
          <w:szCs w:val="24"/>
        </w:rPr>
        <w:t>.—</w:t>
      </w:r>
      <w:proofErr w:type="gramEnd"/>
      <w:r>
        <w:rPr>
          <w:rFonts w:ascii="Times New Roman" w:hAnsi="Times New Roman"/>
          <w:sz w:val="24"/>
          <w:szCs w:val="24"/>
        </w:rPr>
        <w:t>VIII. LEGISLACIÓN CITADA.</w:t>
      </w:r>
    </w:p>
    <w:p w:rsidR="002526CD" w:rsidRDefault="002526CD">
      <w:bookmarkStart w:id="0" w:name="_GoBack"/>
      <w:bookmarkEnd w:id="0"/>
    </w:p>
    <w:sectPr w:rsidR="002526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3F"/>
    <w:rsid w:val="002526CD"/>
    <w:rsid w:val="00DB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3F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3F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9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2018-01-15T12:57:00Z</dcterms:created>
  <dcterms:modified xsi:type="dcterms:W3CDTF">2018-01-15T12:58:00Z</dcterms:modified>
</cp:coreProperties>
</file>