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5B" w:rsidRDefault="0090595B" w:rsidP="0090595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SUMARIO:</w:t>
      </w:r>
    </w:p>
    <w:p w:rsidR="0090595B" w:rsidRDefault="0090595B" w:rsidP="0090595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LA CRISIS COMO MANIFESTACIÓN DEL FALLO EN LA GESTIÓN DEL RIESGO FINANCIERO. —II. EVALUACIÓN DE LA SOL-VENCIA Y TIPOS DE RIESGO DE CRÉDITO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III. EVALUACIÓN DE LA SOLVENCIA Y SUPERVISIÓN BANCARIA</w:t>
      </w:r>
      <w:proofErr w:type="gramStart"/>
      <w:r>
        <w:rPr>
          <w:rFonts w:ascii="Times New Roman" w:hAnsi="Times New Roman"/>
          <w:sz w:val="24"/>
        </w:rPr>
        <w:t>.—</w:t>
      </w:r>
      <w:proofErr w:type="gramEnd"/>
      <w:r>
        <w:rPr>
          <w:rFonts w:ascii="Times New Roman" w:hAnsi="Times New Roman"/>
          <w:sz w:val="24"/>
        </w:rPr>
        <w:t>IV. LA OBLIGACIÓN DE EVALUAR LA SOLVENCIA Y TUTELA DEL CLIENTE BANCARIO: 1. La regulación en el Derecho español. 2. La Directiva 2014/17, de 4 de febrero. 3. El incumplimiento de la obligación de evaluar la solvencia: 3.1. Naturaleza. 3.2. En particular, la posición del prestamista ante un test negativo de solvencia. 3.3. Consecuencias jurídicas: sanciones administrativas versus sanciones civiles. 4. Las «transposiciones autonómicas» de la Directiva 2014/17. 4.1. La regulación contenida en el Código de Consumo de Cataluña. 4.2. La Ley andaluza 3/2016, de 9 de junio. 4.3. El Proyecto de Ley reguladora de los contratos de crédito inmobiliario de 17 de noviembre de 2017.—V. LA NECESIDAD DE UN ADECUADO SISTEMA DE INFORMACIÓN CREDITICIA PARA EL CUMPLIMIENTO Y EL CONTROL DEL CUMPLIMIENTO DE LA OBLI-GACIÓN DE EVALUAR LA SOLVENCIA. —VI. CONCLUSIONES.</w:t>
      </w:r>
    </w:p>
    <w:p w:rsidR="00124844" w:rsidRDefault="00124844">
      <w:bookmarkStart w:id="0" w:name="_GoBack"/>
      <w:bookmarkEnd w:id="0"/>
    </w:p>
    <w:sectPr w:rsidR="00124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5B"/>
    <w:rsid w:val="00124844"/>
    <w:rsid w:val="009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5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5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2018-01-17T09:25:00Z</dcterms:created>
  <dcterms:modified xsi:type="dcterms:W3CDTF">2018-01-17T09:25:00Z</dcterms:modified>
</cp:coreProperties>
</file>