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1" w:rsidRDefault="00005A41" w:rsidP="00005A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005A41" w:rsidRDefault="00005A41" w:rsidP="00005A4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CONSIDERACIONES PREVIAS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II. EL SOSTENIMIENTO DE LAS CARGAS DEL MATRIMONIO: 1. Concepto de cargas del matrimonio. 2. Las cargas del matrimonio en el régimen de separación de bienes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 xml:space="preserve">III. EXTINCIÓN Y LIQUIDACIÓN DEL RÉGIMEN ECONÓMICO DE SEPARACIÓN DE BIENES: 1. supuestos y operaciones </w:t>
      </w:r>
      <w:proofErr w:type="spellStart"/>
      <w:r>
        <w:rPr>
          <w:rFonts w:ascii="Times New Roman" w:hAnsi="Times New Roman"/>
          <w:sz w:val="24"/>
          <w:szCs w:val="24"/>
        </w:rPr>
        <w:t>liquidatorias</w:t>
      </w:r>
      <w:proofErr w:type="spellEnd"/>
      <w:r>
        <w:rPr>
          <w:rFonts w:ascii="Times New Roman" w:hAnsi="Times New Roman"/>
          <w:sz w:val="24"/>
          <w:szCs w:val="24"/>
        </w:rPr>
        <w:t>. 2. La compensación por el trabajo para la casa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IV. BIBLIOGRAFÍA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V. ÍNDICE DE RESOLUCIONES CITADAS.</w:t>
      </w:r>
    </w:p>
    <w:p w:rsidR="00656986" w:rsidRDefault="00656986">
      <w:bookmarkStart w:id="0" w:name="_GoBack"/>
      <w:bookmarkEnd w:id="0"/>
    </w:p>
    <w:sectPr w:rsidR="00656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41"/>
    <w:rsid w:val="00005A41"/>
    <w:rsid w:val="006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4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4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2018-01-16T09:02:00Z</dcterms:created>
  <dcterms:modified xsi:type="dcterms:W3CDTF">2018-01-16T09:02:00Z</dcterms:modified>
</cp:coreProperties>
</file>