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91" w:rsidRPr="00FF3C91" w:rsidRDefault="00FF3C91" w:rsidP="00FF3C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>A PROPÓSITO DE LA EFICACIA Y LA VALIDEZ DEL NEGOCIO JURÍDICO</w:t>
      </w:r>
      <w:proofErr w:type="gramStart"/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II. ¿LA PREVIA INSCRIPCIÓN PRESUPUESTO DE LEGITIMACIÓN QUE TRASCIENDE A LA EFICACIA FRENTE A TERCEROS O FORMALIDAD QUE INCIDE EN LA VALIDEZ DEL NEGOCIO? —III. EL DERECHO POSITIVO CUBANO FIEL HEREDERO DEL DERECHO ROMANO. INCIDENCIAS EN LAS TRANSMISIONES DE INMUEBLES: 1. EL VALOR DE LOS ASIENTOS REGISTRALES EN </w:t>
      </w:r>
      <w:bookmarkStart w:id="0" w:name="_GoBack"/>
      <w:bookmarkEnd w:id="0"/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>MATERIA INMOBILIARIA</w:t>
      </w:r>
      <w:proofErr w:type="gramStart"/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>IV. OTRAS ASIMETRÍAS INFORMATIVAS QUE DIFICULTAN LA SEGURIDAD EN LA TRANSMISIÓN DE INMUEBLES EN CUBA</w:t>
      </w:r>
      <w:proofErr w:type="gramStart"/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F3C91">
        <w:rPr>
          <w:rFonts w:ascii="Times New Roman" w:eastAsia="Times New Roman" w:hAnsi="Times New Roman" w:cs="Times New Roman"/>
          <w:sz w:val="24"/>
          <w:szCs w:val="24"/>
          <w:lang w:eastAsia="es-ES"/>
        </w:rPr>
        <w:t>V. CONCLUSIONES.</w:t>
      </w:r>
    </w:p>
    <w:p w:rsidR="00547D2D" w:rsidRDefault="00547D2D"/>
    <w:sectPr w:rsidR="00547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472C"/>
    <w:multiLevelType w:val="multilevel"/>
    <w:tmpl w:val="7088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91"/>
    <w:rsid w:val="00547D2D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2018-01-17T12:30:00Z</dcterms:created>
  <dcterms:modified xsi:type="dcterms:W3CDTF">2018-01-17T12:31:00Z</dcterms:modified>
</cp:coreProperties>
</file>