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F9" w:rsidRPr="000E69F9" w:rsidRDefault="000E69F9" w:rsidP="00D94F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69F9">
        <w:rPr>
          <w:rFonts w:ascii="Times New Roman" w:eastAsia="Times New Roman" w:hAnsi="Times New Roman" w:cs="Times New Roman"/>
          <w:sz w:val="24"/>
          <w:szCs w:val="24"/>
          <w:lang w:eastAsia="es-ES"/>
        </w:rPr>
        <w:t>EL NUEVO ALCAN</w:t>
      </w:r>
      <w:bookmarkStart w:id="0" w:name="_GoBack"/>
      <w:bookmarkEnd w:id="0"/>
      <w:r w:rsidRPr="000E69F9">
        <w:rPr>
          <w:rFonts w:ascii="Times New Roman" w:eastAsia="Times New Roman" w:hAnsi="Times New Roman" w:cs="Times New Roman"/>
          <w:sz w:val="24"/>
          <w:szCs w:val="24"/>
          <w:lang w:eastAsia="es-ES"/>
        </w:rPr>
        <w:t>CE DE LA SUSTITUCIÓN FIDEI-COMISARIA TRAS LA LEY 41/2003, DE PROTECCIÓN PATRIMONIAL DE LAS PERSONAS CON DISCAPACIDAD.-II. EL RESURGIMIENTO DE LA CURATELA TRAS LA CONVENCIÓN DE NACIONES UNIDAS SOBRE LOS DERECHOS DE LAS PERSONAS CON DISCAPACIDAD: 2.1. ANTECEDENTES DE LA CÚRATELA. 2.2. LA APUESTA DECIDIDA DEL TRIBUNAL SU-PREMO POR LA CÚRATELA COMO MEDIO DE ADAPTACIÓN DEL ARTÍCULO 12 DE LA CON-VENCIÓN A NUESTRO ORDENAMIENTO JURÍDICO. 2.3. LA PROTECCIÓN DE LOS TUTELADOS, Y NO DE LOS CURATELADOS, COMO VERDADERA FINALIDAD DEL LEGISLADOR DE LA LEY 41/2003.-III. NECESIDAD DE EXCLUIR COMO POSIBLES BENEFICIARIOS DE LA INSTITUCIÓN ESPECIAL A LOS CURATELADOS. -IV. CONCLUSIONES.-V. BIBLIOGRAFÍA.</w:t>
      </w:r>
    </w:p>
    <w:p w:rsidR="00803611" w:rsidRDefault="00803611"/>
    <w:sectPr w:rsidR="0080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C07"/>
    <w:multiLevelType w:val="multilevel"/>
    <w:tmpl w:val="10A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9"/>
    <w:rsid w:val="000E69F9"/>
    <w:rsid w:val="00803611"/>
    <w:rsid w:val="00D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2018-01-17T11:59:00Z</dcterms:created>
  <dcterms:modified xsi:type="dcterms:W3CDTF">2018-01-26T10:25:00Z</dcterms:modified>
</cp:coreProperties>
</file>