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43" w:rsidRPr="00472743" w:rsidRDefault="00472743" w:rsidP="004727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2743">
        <w:rPr>
          <w:rFonts w:ascii="Times New Roman" w:eastAsia="Times New Roman" w:hAnsi="Times New Roman" w:cs="Times New Roman"/>
          <w:sz w:val="24"/>
          <w:szCs w:val="24"/>
          <w:lang w:eastAsia="es-ES"/>
        </w:rPr>
        <w:t>DEUDA PROPIA Y ASUNCIÓN DE DEUDA AJENA: LA PROSPERABILIDAD DE LA ACCIÓN DE REEMBOLSO</w:t>
      </w:r>
      <w:proofErr w:type="gramStart"/>
      <w:r w:rsidRPr="00472743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472743">
        <w:rPr>
          <w:rFonts w:ascii="Times New Roman" w:eastAsia="Times New Roman" w:hAnsi="Times New Roman" w:cs="Times New Roman"/>
          <w:sz w:val="24"/>
          <w:szCs w:val="24"/>
          <w:lang w:eastAsia="es-ES"/>
        </w:rPr>
        <w:t>II. STS DE 7 DE MARZO DE 2017: ACCIÓN DE REEMBOLSO DEL ARTÍCULO 1158 DEL CÓDIGO CIVIL, EJERCITADA POR UN HERMANO FRENTE A OTRO RECLAMANDO LOS GASTOS DE RESIDENCIA GERIATRICA DE LA MADRE</w:t>
      </w:r>
      <w:proofErr w:type="gramStart"/>
      <w:r w:rsidRPr="00472743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472743">
        <w:rPr>
          <w:rFonts w:ascii="Times New Roman" w:eastAsia="Times New Roman" w:hAnsi="Times New Roman" w:cs="Times New Roman"/>
          <w:sz w:val="24"/>
          <w:szCs w:val="24"/>
          <w:lang w:eastAsia="es-ES"/>
        </w:rPr>
        <w:t>III. EL CASO DE LA GESTIÓN DE NEGOCIOS AJENOS Y LA SUSTITUCIÓN DEL DOMINUS POR EL GESTOR: EL PRESUPUESTO DE LA ACTUACIÓN ESPONTÁNEA Y DESINTERESADA DEL GESTOR</w:t>
      </w:r>
      <w:proofErr w:type="gramStart"/>
      <w:r w:rsidRPr="00472743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472743">
        <w:rPr>
          <w:rFonts w:ascii="Times New Roman" w:eastAsia="Times New Roman" w:hAnsi="Times New Roman" w:cs="Times New Roman"/>
          <w:sz w:val="24"/>
          <w:szCs w:val="24"/>
          <w:lang w:eastAsia="es-ES"/>
        </w:rPr>
        <w:t>IV. RESIDENCIAS DE PERSONAS MAYORES Y GERIÁTRICOS: CUESTIONES FUNDAMENTALES: 1. NOCIÓN TÉCNICA Y CALIFICACIÓN JURÍDICA COMO CENTRO INTEGRADO EN UN SERVICIO SANITARIO NO EXCLUSIVO. 2. LAS RESIDENCIAS COMO SERVICIOS DE uso</w:t>
      </w:r>
      <w:bookmarkStart w:id="0" w:name="_GoBack"/>
      <w:bookmarkEnd w:id="0"/>
      <w:r w:rsidRPr="0047274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CONSUMO COMÚN, ORDINARIO Y GENERALIZADO: CONSECUENCIAS TÉCNICAS Y JURÍDICAS DE LA CALIFICACIÓN DEL RESIDENTE COMO USUARIO. 3. EL CONTRATO DE GESTIÓN DE SERVICIOS PÚBLICOS Y SUS MODALIDADES: EL SISTEMA DE RESIDENCIAS PÚBLICAS, CONCERTADAS Y PRIVADAS PARA LA PRESTACIÓN DEL SERVICIO RESIDENCIAL</w:t>
      </w:r>
      <w:proofErr w:type="gramStart"/>
      <w:r w:rsidRPr="00472743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47274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IV. CONTRATO RESIDENCIAL O DE HOSPEDAJE COMO NEGOCIO ATÍPICO</w:t>
      </w:r>
      <w:proofErr w:type="gramStart"/>
      <w:r w:rsidRPr="00472743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472743">
        <w:rPr>
          <w:rFonts w:ascii="Times New Roman" w:eastAsia="Times New Roman" w:hAnsi="Times New Roman" w:cs="Times New Roman"/>
          <w:sz w:val="24"/>
          <w:szCs w:val="24"/>
          <w:lang w:eastAsia="es-ES"/>
        </w:rPr>
        <w:t>V. REFLEXIONES CONCLUSIVAS.—VI. BIBLIOGRAFÍA</w:t>
      </w:r>
      <w:proofErr w:type="gramStart"/>
      <w:r w:rsidRPr="00472743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472743">
        <w:rPr>
          <w:rFonts w:ascii="Times New Roman" w:eastAsia="Times New Roman" w:hAnsi="Times New Roman" w:cs="Times New Roman"/>
          <w:sz w:val="24"/>
          <w:szCs w:val="24"/>
          <w:lang w:eastAsia="es-ES"/>
        </w:rPr>
        <w:t>VII. ÍNDICE DE RESOLUCIONES CITADAS.</w:t>
      </w:r>
    </w:p>
    <w:p w:rsidR="00872FDD" w:rsidRDefault="00872FDD" w:rsidP="00472743">
      <w:pPr>
        <w:jc w:val="both"/>
      </w:pPr>
    </w:p>
    <w:sectPr w:rsidR="00872F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546F0"/>
    <w:multiLevelType w:val="multilevel"/>
    <w:tmpl w:val="2C729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43"/>
    <w:rsid w:val="00472743"/>
    <w:rsid w:val="0087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2018-01-18T11:00:00Z</dcterms:created>
  <dcterms:modified xsi:type="dcterms:W3CDTF">2018-01-18T11:02:00Z</dcterms:modified>
</cp:coreProperties>
</file>