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F3" w:rsidRPr="004156F3" w:rsidRDefault="004156F3" w:rsidP="004156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BENEFICIOS DEL NEGOCIO DE CESIÓN DE SOLAR A CAMBIO DE </w:t>
      </w:r>
      <w:bookmarkStart w:id="0" w:name="_GoBack"/>
      <w:bookmarkEnd w:id="0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OBRA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II. TRANSMISIÓN DE DERECHOS CON LA ESCRITURA DE CESIÓN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III. CESIÓN DE CUOTA INDIVISA DE SOLAR. —IV. CONSTITUCIÓN DE DERECHOS DE VUELO O DE SUPERFICIE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V. CONDICIÓN RESOLUTORIA EXPRESA.—VI. CONDICIÓN SUSPENSIVA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VII. RESERVA DE DOMINIO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VIII. SEGURO DE CAUCIÓN Y AVAL BANCARIO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IX. CLÁUSULA PENAL</w:t>
      </w:r>
      <w:proofErr w:type="gramStart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4156F3">
        <w:rPr>
          <w:rFonts w:ascii="Times New Roman" w:eastAsia="Times New Roman" w:hAnsi="Times New Roman" w:cs="Times New Roman"/>
          <w:sz w:val="24"/>
          <w:szCs w:val="24"/>
          <w:lang w:eastAsia="es-ES"/>
        </w:rPr>
        <w:t>X. LA SERVIDUMBRE SOBRE EL EDIFICIO A CONSTRUIR.—XI. CONCLUSIONES.</w:t>
      </w:r>
    </w:p>
    <w:p w:rsidR="00067868" w:rsidRDefault="00067868"/>
    <w:sectPr w:rsidR="00067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2CB"/>
    <w:multiLevelType w:val="multilevel"/>
    <w:tmpl w:val="DE24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3"/>
    <w:rsid w:val="00067868"/>
    <w:rsid w:val="004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2018-01-17T12:16:00Z</dcterms:created>
  <dcterms:modified xsi:type="dcterms:W3CDTF">2018-01-17T12:17:00Z</dcterms:modified>
</cp:coreProperties>
</file>