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B2" w:rsidRDefault="00FD2F8D" w:rsidP="00FD2F8D">
      <w:pPr>
        <w:jc w:val="both"/>
      </w:pPr>
      <w:r>
        <w:t xml:space="preserve">. INTRODUCCIÓN.-II. SOBRE EL ALCANCE DE LA DISPOSICIÓN DEROGATORIA DE LA LEY 13/2015: 1. EN CUANTO A LOS CAUCES PARA RECTIFICAR LA CABIDA DE LAS FINCAS INSCRITAS. 2. EN CUANTO A LAS CERTIFICACIONES DE DOMINIO Y EL CAUCE PARA RESOLVER LAS POSIBLES CONTRADICCIONES ENTRE LA DESCRIPCIÓN DE LAS FINCAS CONTENIDA EN ESTAS Y ASIENTOS NO CANCELADOS, ARTÍCULO 306 RH. 3. EN CUANTO AL DOBLE TÍTULO </w:t>
      </w:r>
      <w:bookmarkStart w:id="0" w:name="_GoBack"/>
      <w:r>
        <w:t>INMATRICULADOR, Y LOS REQUISITOS DEL ARTÍCULO 298.1 RH</w:t>
      </w:r>
      <w:proofErr w:type="gramStart"/>
      <w:r>
        <w:t>.—</w:t>
      </w:r>
      <w:proofErr w:type="gramEnd"/>
      <w:r>
        <w:t xml:space="preserve">III. ÁMBITO TEMPORAL DE </w:t>
      </w:r>
      <w:bookmarkEnd w:id="0"/>
      <w:r>
        <w:t>APLICACIÓN DE LA MODIFICACIÓN OPERADA POR LA LEY 13/2015 Y SU DISPOSICIÓN TRANSITORIA ÚNICA: 1. LA DICOTOMÍA ENTRE PROCEDIMIENTOS REGISTRALES, EN GENERAL, Y PROCEDIMIENTOS INMATRICULADORES DE LOS ARTÍCULOS 205 Y 206 LH EN su ANTERIOR REDACCIÓN. 2. CRITERIOS TEMPORALES APLICABLES EN FUNCIÓN DE LA PREVIA DISTINCIÓN ENTRE PROCEDIMIENTOS Y DOCUMENTOS. 3. LOS REQUISITOS DE LA INSCRIPCIÓN: A) PARA LA INSCRIPCIÓN DE LAS FINCAS. B) LAS OBRAS NUEVAS. C) PARA LAS OPERACIONES DE MODIFICACIÓN DE LAS ENTIDADES HIPOTECARIAS.-IV. CONCLUSIONES.</w:t>
      </w:r>
    </w:p>
    <w:sectPr w:rsidR="006E6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8D"/>
    <w:rsid w:val="006E69B2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2018-01-17T12:20:00Z</dcterms:created>
  <dcterms:modified xsi:type="dcterms:W3CDTF">2018-01-17T12:20:00Z</dcterms:modified>
</cp:coreProperties>
</file>