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0F" w:rsidRDefault="00B5060C" w:rsidP="00B5060C">
      <w:pPr>
        <w:jc w:val="both"/>
      </w:pPr>
      <w:bookmarkStart w:id="0" w:name="_GoBack"/>
      <w:r>
        <w:t>I. CONSIDERACIONES PREVIAS</w:t>
      </w:r>
      <w:proofErr w:type="gramStart"/>
      <w:r>
        <w:t>.—</w:t>
      </w:r>
      <w:proofErr w:type="gramEnd"/>
      <w:r>
        <w:t>II. LA ATRIBUCIÓN DEL USO DE LA VIVIENDA FAMILIAR: 1. ALCANCE Y FIJACIÓN DE LA MEDIDA DE ATRIBUCIÓN DEL USO. 2. LOS CRITERIOS PARA LA ATRIBUCIÓN DEL USO DE LA VIVIENDA FAMILIAR. 3. DIVERSOS TÍTULOS POR EL QUE SE ATRIBUYE EL USO DE LA VIVIENDA. 4. LA DIVISIÓN DE LA VIVIENDA FAMILIAR. 5. LA TEMPORALIDAD EN LA ATRIBUCIÓN DEL USO</w:t>
      </w:r>
      <w:proofErr w:type="gramStart"/>
      <w:r>
        <w:t>.—</w:t>
      </w:r>
      <w:proofErr w:type="gramEnd"/>
      <w:r>
        <w:t>III. LA HIPOTECA Y OTROS GASTOS EN RELACIÓN CON LA VIVIENDA FAMILIAR</w:t>
      </w:r>
      <w:proofErr w:type="gramStart"/>
      <w:r>
        <w:t>.—</w:t>
      </w:r>
      <w:proofErr w:type="gramEnd"/>
      <w:r>
        <w:t>IV. LA DISPOSICIÓN DE LA VIVIENDA FAMILIAR</w:t>
      </w:r>
      <w:proofErr w:type="gramStart"/>
      <w:r>
        <w:t>.—</w:t>
      </w:r>
      <w:proofErr w:type="gramEnd"/>
      <w:r>
        <w:t>V. LA LIQUIDACIÓN DE LA SOCIEDAD DE GANANCIALES Y LA CUANTIFICACIÓN ECONÓMICA DEL DERECHO DE USO.—VI. BIBLIOGRAFÍA</w:t>
      </w:r>
      <w:proofErr w:type="gramStart"/>
      <w:r>
        <w:t>.—</w:t>
      </w:r>
      <w:proofErr w:type="gramEnd"/>
      <w:r>
        <w:t>VII. INDICE DE RESOLUCIONES CITADAS.</w:t>
      </w:r>
      <w:bookmarkEnd w:id="0"/>
    </w:p>
    <w:sectPr w:rsidR="00791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0C"/>
    <w:rsid w:val="00791B0F"/>
    <w:rsid w:val="00B50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2018-01-25T12:25:00Z</dcterms:created>
  <dcterms:modified xsi:type="dcterms:W3CDTF">2018-01-25T12:26:00Z</dcterms:modified>
</cp:coreProperties>
</file>