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BD" w:rsidRDefault="00B26D29" w:rsidP="00B26D29">
      <w:pPr>
        <w:jc w:val="both"/>
      </w:pPr>
      <w:r>
        <w:t>I. INTRODUCCIÓN. —II. CONTROL DE LEGALIDAD DEL REGISTRADOR Y CONDICIONES GENERALES DE LA CONTRATACIÓN</w:t>
      </w:r>
      <w:proofErr w:type="gramStart"/>
      <w:r>
        <w:t>.—</w:t>
      </w:r>
      <w:proofErr w:type="gramEnd"/>
      <w:r>
        <w:t>III. LA CALIFICACIÓN REGISTRAL DE LAS CLÁUSULAS DE VENCIMIENTO ANTICIPADO DE LAS HIPOTECAS. —IV. LA INTERPRETACIÓN DE LA RECIENTE DOCTRINA DE LA DIRECCIÓN GENERAL DE LOS REGISTROS Y DEL NOTARIADO SOBRE LA CALIFICACIÓN DE LAS CLÁUSULAS DE VENCIMIENTO ANTICIPADO</w:t>
      </w:r>
      <w:proofErr w:type="gramStart"/>
      <w:r>
        <w:t>.—</w:t>
      </w:r>
      <w:proofErr w:type="gramEnd"/>
      <w:r>
        <w:t>V. CONCLUSIONES.</w:t>
      </w:r>
      <w:bookmarkStart w:id="0" w:name="_GoBack"/>
      <w:bookmarkEnd w:id="0"/>
    </w:p>
    <w:sectPr w:rsidR="00B4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9"/>
    <w:rsid w:val="00B26D29"/>
    <w:rsid w:val="00B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2018-01-31T08:50:00Z</dcterms:created>
  <dcterms:modified xsi:type="dcterms:W3CDTF">2018-01-31T08:52:00Z</dcterms:modified>
</cp:coreProperties>
</file>