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1" w:rsidRDefault="00FF52A4" w:rsidP="00FF52A4">
      <w:pPr>
        <w:jc w:val="both"/>
      </w:pPr>
      <w:bookmarkStart w:id="0" w:name="_GoBack"/>
      <w:bookmarkEnd w:id="0"/>
      <w:r>
        <w:t>I. LA ABSOLUTA DESPROTECCIÓN JURÍDICA DEL MENOR EN CASO DE RUPTURA FAMILIAR</w:t>
      </w:r>
      <w:proofErr w:type="gramStart"/>
      <w:r>
        <w:t>.—</w:t>
      </w:r>
      <w:proofErr w:type="gramEnd"/>
      <w:r>
        <w:t>II. LA CUSTODIA DE FACTO DEL MENOR DESDE LA RUPTURA PARENTAL HASTA LA EXISTENCIA DE UN PRONUNCIAMIENTO JUDICIAL: 1. La custodia de facto y el limbo jurídico en el que se encuentra el menor. Críticas y propuestas. 2. La exploración del menor. 3. Las medidas cautelares del artículo 158 del Código Civil. 4. La eventual validez del convenio regulador no homologado judicialmente en relación a las medidas relativas a los hijos. 5. La protección del menor en el ámbito penal requiere la judicialización de la ruptura parental</w:t>
      </w:r>
      <w:proofErr w:type="gramStart"/>
      <w:r>
        <w:t>.—</w:t>
      </w:r>
      <w:proofErr w:type="gramEnd"/>
      <w:r>
        <w:t>III. CONCLUSIONES</w:t>
      </w:r>
      <w:proofErr w:type="gramStart"/>
      <w:r>
        <w:t>.—</w:t>
      </w:r>
      <w:proofErr w:type="gramEnd"/>
      <w:r>
        <w:t>IV. ÍNDICE DE RESOLUCIONES CITADAS</w:t>
      </w:r>
      <w:proofErr w:type="gramStart"/>
      <w:r>
        <w:t>.—</w:t>
      </w:r>
      <w:proofErr w:type="gramEnd"/>
      <w:r>
        <w:t>V. BIBLIOGRAFÍA.</w:t>
      </w:r>
    </w:p>
    <w:sectPr w:rsidR="0084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A4"/>
    <w:rsid w:val="008405A1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2018-01-26T11:39:00Z</dcterms:created>
  <dcterms:modified xsi:type="dcterms:W3CDTF">2018-01-26T11:39:00Z</dcterms:modified>
</cp:coreProperties>
</file>