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D3" w:rsidRDefault="006A29D7" w:rsidP="006A29D7">
      <w:pPr>
        <w:jc w:val="both"/>
      </w:pPr>
      <w:bookmarkStart w:id="0" w:name="_GoBack"/>
      <w:r>
        <w:t>I. ACOTACIONES AL ÍTER EVOLUTIVO DEL CONTRATO DE ARRENDAMIENTO DE INMUEBLES URBANOS EN CUBA</w:t>
      </w:r>
      <w:proofErr w:type="gramStart"/>
      <w:r>
        <w:t>.—</w:t>
      </w:r>
      <w:proofErr w:type="gramEnd"/>
      <w:r>
        <w:t>II. LOS CAMBIOS SOBREVENIDOS CON EL DECRETO-LEY NÚM. 322/2014 Y EL REGLAMENTO SOBRE ARRENDAMIENTO DE VIVIENDAS, HABITACIONES Y ESPACIOS: 1. CAPACIDAD/LEGITIMACIÓN PARA CONTRATAR EN EL ARRENDAMIENTO URBANO. 2. LOS ELEMENTOS A CONSIGNAR EN EL CONTRATO DE ARRENDAMIENTO, A PROPÓSITO DEL MINIMALISMO CONTRACTUAL EN SEDE DE LOCACIÓN</w:t>
      </w:r>
      <w:proofErr w:type="gramStart"/>
      <w:r>
        <w:t>.—</w:t>
      </w:r>
      <w:proofErr w:type="gramEnd"/>
      <w:r>
        <w:t>III. REGULACIONES INCÓLUMES EN EL ARRENDAMIENTO DE INMUEBLES URBANOS EN CUBA, O ALGUNAS IDEAS PARA UNA FUTURA REFORMA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BIBLIOGRAFÍA.2071 a 2100</w:t>
      </w:r>
      <w:bookmarkEnd w:id="0"/>
    </w:p>
    <w:sectPr w:rsidR="00850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7"/>
    <w:rsid w:val="006A29D7"/>
    <w:rsid w:val="008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2018-01-26T09:47:00Z</dcterms:created>
  <dcterms:modified xsi:type="dcterms:W3CDTF">2018-01-26T09:47:00Z</dcterms:modified>
</cp:coreProperties>
</file>