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6" w:rsidRDefault="00C876B5" w:rsidP="00C876B5">
      <w:pPr>
        <w:jc w:val="both"/>
      </w:pPr>
      <w:r>
        <w:t>I. IN</w:t>
      </w:r>
      <w:bookmarkStart w:id="0" w:name="_GoBack"/>
      <w:bookmarkEnd w:id="0"/>
      <w:r>
        <w:t>TRODUCCIÓN.-II. LA NACIENTE COMPETENCIA ESTATUTARIA PARA LEGISLAR SOBRE DERECHO CIVIL A LA LUZ DE LA CONSTITUCIÓN ESPAÑOLA Y LA DOCTRINA DEL TRIBUNAL CONSTITUCIONAL. —III. LA NUEVA FORMULACIÓN DE LA COMPETENCIA LEGISLATIVA EN MATERIA DE DERECHO CIVIL TRAS LA REFORMA ESTATUTARIA DE 2006</w:t>
      </w:r>
      <w:proofErr w:type="gramStart"/>
      <w:r>
        <w:t>.—</w:t>
      </w:r>
      <w:proofErr w:type="gramEnd"/>
      <w:r>
        <w:t>IV. UNA NOTA CRÍTICA SOBRE LA INVOCACIÓN A LOS FUEROS DE VALENCIA EN EL TEXTO ESTATUTARIO.—V. EL DERECHO CIVIL VALENCIANO A LA LUZ DE LOS RECIENTES PRONUNCIAMIENTOS DEL TRIBUNAL CONSTITUCIONAL: 1. SENTENCIA 82/2016, DE 28 DE ABRIL, DEL PLENO DEL TRIBUNAL CONSTITUCIONAL. 2. SENTENCIA 110/2016, DE 9 DE JUNIO, DEL PLENO DEL TRIBUNAL CONSTITUCIONAL. 3. SENTENCIA 192/2016, DE 16 DE NOVIEMBRE, DEL PLENO DEL TRIBUNAL CONSTITUCIONAL. 4. EL VOTO PARTICULAR DEL MAGISTRADO JUAN ANTONIO XIOL RÍOS A LAS TRES SENTENCIAS: UNA NOTA CRÍTICA</w:t>
      </w:r>
      <w:proofErr w:type="gramStart"/>
      <w:r>
        <w:t>.—</w:t>
      </w:r>
      <w:proofErr w:type="gramEnd"/>
      <w:r>
        <w:t>VI. CONCLUSIONES: PERSPECTIVA DE FUTURO PARA EL DERECHO CIVIL VALENCIANO.</w:t>
      </w:r>
    </w:p>
    <w:sectPr w:rsidR="00FD6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B5"/>
    <w:rsid w:val="00C876B5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2018-01-23T09:25:00Z</dcterms:created>
  <dcterms:modified xsi:type="dcterms:W3CDTF">2018-01-23T09:26:00Z</dcterms:modified>
</cp:coreProperties>
</file>