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08" w:rsidRDefault="00420F23" w:rsidP="00420F23">
      <w:pPr>
        <w:jc w:val="both"/>
      </w:pPr>
      <w:bookmarkStart w:id="0" w:name="_GoBack"/>
      <w:r>
        <w:t xml:space="preserve">INTRODUCCIÓN.—II. OBLIGACIONES DE MEDIOS Y DE RESULTADOS.—III. JURISPRUDENCIA DEL </w:t>
      </w:r>
      <w:bookmarkEnd w:id="0"/>
      <w:r>
        <w:t>TRIBUNAL SUPREMO. —IV. CONCLUSIONES.—V. ÍNDICE DE RESOLUCIONES CITADAS.—VI. BI-BLIOGRAFÍA.</w:t>
      </w:r>
    </w:p>
    <w:sectPr w:rsidR="00351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23"/>
    <w:rsid w:val="00351C08"/>
    <w:rsid w:val="0042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2018-01-29T09:55:00Z</dcterms:created>
  <dcterms:modified xsi:type="dcterms:W3CDTF">2018-01-29T09:55:00Z</dcterms:modified>
</cp:coreProperties>
</file>