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9" w:rsidRDefault="00B65AF4" w:rsidP="00B65AF4">
      <w:pPr>
        <w:jc w:val="both"/>
      </w:pPr>
      <w:bookmarkStart w:id="0" w:name="_GoBack"/>
      <w:bookmarkEnd w:id="0"/>
      <w:r>
        <w:t>I. PLANTEAMIENTO</w:t>
      </w:r>
      <w:proofErr w:type="gramStart"/>
      <w:r>
        <w:t>.—</w:t>
      </w:r>
      <w:proofErr w:type="gramEnd"/>
      <w:r>
        <w:t>II. PREVISIONES DE LA LCGC ACERCA DE LAS CONDICIONES GENERALES EN CONTRATOS CON EMPRESARIOS</w:t>
      </w:r>
      <w:proofErr w:type="gramStart"/>
      <w:r>
        <w:t>.—</w:t>
      </w:r>
      <w:proofErr w:type="gramEnd"/>
      <w:r>
        <w:t>III. LA STS DE 3 DE JUNIO DE 2016 Y EL CONTROL DE CLÁUSULAS SUELO EN PRÉSTAMOS A EMPRESARIOS: 1. APLICACIÓN DEL CONTROL DE TRANSPARENCIA A ADHERENTES NO CONSUMIDORES. 2. LA BUENA FE COMO CRITERIO DE CONTROL Y DE INTERPRETACIÓN DEL CONTENIDO DE LOS CONTRATOS</w:t>
      </w:r>
      <w:proofErr w:type="gramStart"/>
      <w:r>
        <w:t>.—</w:t>
      </w:r>
      <w:proofErr w:type="gramEnd"/>
      <w:r>
        <w:t>IV. CONSECUENCIAS DE LA DECLARACIÓN DE NULIDAD DE LA CLÁUSULA SUELO EN PRÉSTAMOS A EMPRESARIOS</w:t>
      </w:r>
      <w:proofErr w:type="gramStart"/>
      <w:r>
        <w:t>.—</w:t>
      </w:r>
      <w:proofErr w:type="gramEnd"/>
      <w:r>
        <w:t>V. CONCLUSIONES.—ÍNDICE DE RESOLUCIONES.—BIBLIOGRAFÍA.</w:t>
      </w:r>
    </w:p>
    <w:sectPr w:rsidR="008526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4"/>
    <w:rsid w:val="00852629"/>
    <w:rsid w:val="00B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2018-01-23T11:49:00Z</dcterms:created>
  <dcterms:modified xsi:type="dcterms:W3CDTF">2018-01-23T11:50:00Z</dcterms:modified>
</cp:coreProperties>
</file>