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24" w:rsidRDefault="006F5CEB" w:rsidP="006F5CEB">
      <w:pPr>
        <w:jc w:val="both"/>
      </w:pPr>
      <w:bookmarkStart w:id="0" w:name="_GoBack"/>
      <w:r>
        <w:t>1. EL BIEN INMUEBLE COMO CATALIZADOR ENTRE EL REGISTRO Y EL CATASTRO</w:t>
      </w:r>
      <w:proofErr w:type="gramStart"/>
      <w:r>
        <w:t>.—</w:t>
      </w:r>
      <w:proofErr w:type="gramEnd"/>
      <w:r>
        <w:t>2. DISTINCIÓN ENTRE CATASTRO Y REGISTRO DE LA PROPIEDAD: 2.1. LA FINCA REGISTRAL Y LA PARCELA CATASTRAL</w:t>
      </w:r>
      <w:proofErr w:type="gramStart"/>
      <w:r>
        <w:t>.—</w:t>
      </w:r>
      <w:proofErr w:type="gramEnd"/>
      <w:r>
        <w:t>3. LA NECESARIA COORDINACIÓN ENTRE EL REGISTRO Y EL CATASTRO. —4. EL PROCEDIMIENTO ESPECIAL DE REPARCELACIÓN. LA EXPERIENCIA CUBANA DEL ORDENAMIENTO POR MANZANAS</w:t>
      </w:r>
      <w:proofErr w:type="gramStart"/>
      <w:r>
        <w:t>.—</w:t>
      </w:r>
      <w:proofErr w:type="gramEnd"/>
      <w:r>
        <w:t>5. CONCLUSIONES</w:t>
      </w:r>
      <w:proofErr w:type="gramStart"/>
      <w:r>
        <w:t>.—</w:t>
      </w:r>
      <w:proofErr w:type="gramEnd"/>
      <w:r>
        <w:t>6. BIBLIOGRAFÍA.</w:t>
      </w:r>
      <w:bookmarkEnd w:id="0"/>
    </w:p>
    <w:sectPr w:rsidR="009F52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EB"/>
    <w:rsid w:val="006F5CEB"/>
    <w:rsid w:val="009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2018-01-29T12:32:00Z</dcterms:created>
  <dcterms:modified xsi:type="dcterms:W3CDTF">2018-01-29T12:33:00Z</dcterms:modified>
</cp:coreProperties>
</file>