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6E" w:rsidRDefault="006679C2" w:rsidP="006679C2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BREVES CONSIDERACIONES SOBRE LA FIDUCIA, LA «PUESTA A NOMBRE DE OTRO» Y LA NULIDAD POR ILÍCITO CAUSAL</w:t>
      </w:r>
      <w:proofErr w:type="gramStart"/>
      <w:r>
        <w:t>.—</w:t>
      </w:r>
      <w:proofErr w:type="gramEnd"/>
      <w:r>
        <w:t>III. DE LA INAPLICABILIDAD DEL ARTÍCULO 1306 DEL CÓDIGO CIVIL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V. ÍNDICE DE RESOLUCIONES CITADAS.</w:t>
      </w:r>
    </w:p>
    <w:sectPr w:rsidR="00CE7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2"/>
    <w:rsid w:val="006679C2"/>
    <w:rsid w:val="00C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2018-01-25T08:24:00Z</dcterms:created>
  <dcterms:modified xsi:type="dcterms:W3CDTF">2018-01-25T08:25:00Z</dcterms:modified>
</cp:coreProperties>
</file>