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72E" w:rsidRDefault="006C510B" w:rsidP="006C510B">
      <w:pPr>
        <w:jc w:val="both"/>
      </w:pPr>
      <w:r>
        <w:t>I. INTROD</w:t>
      </w:r>
      <w:bookmarkStart w:id="0" w:name="_GoBack"/>
      <w:bookmarkEnd w:id="0"/>
      <w:r>
        <w:t>UCCIÓN</w:t>
      </w:r>
      <w:proofErr w:type="gramStart"/>
      <w:r>
        <w:t>.—</w:t>
      </w:r>
      <w:proofErr w:type="gramEnd"/>
      <w:r>
        <w:t>II. LA DOCTRINA DEL TRIBUNAL SUPREMO CONSISTENTE EN QUE EL ARTÍCULO 1 DE LA LEY 57/1968 REGULA LA POSICIÓN DEL AVALISTA COMO FIGURA AUTÓNOMA</w:t>
      </w:r>
      <w:proofErr w:type="gramStart"/>
      <w:r>
        <w:t>.—</w:t>
      </w:r>
      <w:proofErr w:type="gramEnd"/>
      <w:r>
        <w:t>III. LA INAPLICABILIDAD DE LA DOCTRINA DEL TRIBUNAL SUPREMO TRAS LA DEROGACIÓN DE LA LEY 57/1968 POR LA DISPOSICIÓN DEROGATORIA TERCERA DE LA LEY 38/1999, DE 5 DE NOVIEMBRE, DE ORDENACIÓN DE LA EDIFICACIÓN INTRODUCIDA POR LA DISPOSICIÓN FINAL 3.4 DE LA LEY 20/2015, DE 14 DE JULIO</w:t>
      </w:r>
      <w:proofErr w:type="gramStart"/>
      <w:r>
        <w:t>.—</w:t>
      </w:r>
      <w:proofErr w:type="gramEnd"/>
      <w:r>
        <w:t>IV. CONCLUSIÓN</w:t>
      </w:r>
      <w:proofErr w:type="gramStart"/>
      <w:r>
        <w:t>.—</w:t>
      </w:r>
      <w:proofErr w:type="gramEnd"/>
      <w:r>
        <w:t>V. BIBLIOGRAFÍA.—VI. ÍNDICE DE RESOLUCIONES CITADAS.</w:t>
      </w:r>
    </w:p>
    <w:sectPr w:rsidR="00DD67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0B"/>
    <w:rsid w:val="006C510B"/>
    <w:rsid w:val="00DD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2018-01-29T09:48:00Z</dcterms:created>
  <dcterms:modified xsi:type="dcterms:W3CDTF">2018-01-29T09:49:00Z</dcterms:modified>
</cp:coreProperties>
</file>