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4" w:rsidRDefault="009E59F4" w:rsidP="009E59F4">
      <w:pPr>
        <w:jc w:val="both"/>
      </w:pPr>
      <w:r>
        <w:t>I. INTRODUCCIÓN</w:t>
      </w:r>
      <w:proofErr w:type="gramStart"/>
      <w:r>
        <w:t>.—</w:t>
      </w:r>
      <w:proofErr w:type="gramEnd"/>
      <w:r>
        <w:t>II. OBJETIVOS</w:t>
      </w:r>
      <w:proofErr w:type="gramStart"/>
      <w:r>
        <w:t>.—</w:t>
      </w:r>
      <w:proofErr w:type="gramEnd"/>
      <w:r>
        <w:t>III. ÁMBITO DE APLICACIÓN</w:t>
      </w:r>
      <w:proofErr w:type="gramStart"/>
      <w:r>
        <w:t>.—</w:t>
      </w:r>
      <w:proofErr w:type="gramEnd"/>
      <w:r>
        <w:t>IV. DEFINICIONES</w:t>
      </w:r>
      <w:proofErr w:type="gramStart"/>
      <w:r>
        <w:t>.—</w:t>
      </w:r>
      <w:proofErr w:type="gramEnd"/>
      <w:r>
        <w:t>V. EDUCACIÓN FINANCIERA DE LOS CONSUMIDORES.—VI. OBLIGACIONES DE LOS PRESTAMISTAS</w:t>
      </w:r>
      <w:proofErr w:type="gramStart"/>
      <w:r>
        <w:t>.—</w:t>
      </w:r>
      <w:proofErr w:type="gramEnd"/>
      <w:r>
        <w:t>VII. INFORMACIÓN Y PRÁCTICAS PREVIAS A LA CELEBRACIÓN DEL CONTRATO: 1. FORMA DE SUMINISTRAR LA INFORMACIÓN. 2. VENTAS VINCULADAS Y COMBINADAS. 3. INFORMACIÓN GENERAL</w:t>
      </w:r>
      <w:proofErr w:type="gramStart"/>
      <w:r>
        <w:t>.—</w:t>
      </w:r>
      <w:proofErr w:type="gramEnd"/>
      <w:r>
        <w:t>VIII. TASA ANUAL   EQUIVALENTE</w:t>
      </w:r>
      <w:proofErr w:type="gramStart"/>
      <w:r>
        <w:t>.—</w:t>
      </w:r>
      <w:proofErr w:type="gramEnd"/>
      <w:r>
        <w:t>IX. EVALUACIÓN DE LA SOLVENCIA. 1. TASACIÓN   DE LOS BIENES INMUEBLES. 2. VERIFICACIÓN DE LA INFORMACIÓN RELATIVA AL CON-SUMIDOR. 3. ACCESO A BASES DE DATOS</w:t>
      </w:r>
      <w:proofErr w:type="gramStart"/>
      <w:r>
        <w:t>.—</w:t>
      </w:r>
      <w:proofErr w:type="gramEnd"/>
      <w:r>
        <w:t>X. SERVICIOS DE ASESORAMIENTO.—XI. PRÉSTAMOS EN MONEDA EXTRANJERA</w:t>
      </w:r>
      <w:proofErr w:type="gramStart"/>
      <w:r>
        <w:t>.—</w:t>
      </w:r>
      <w:proofErr w:type="gramEnd"/>
      <w:r>
        <w:t>XII. CRÉDITOS DE TIPO VARIABLE</w:t>
      </w:r>
      <w:proofErr w:type="gramStart"/>
      <w:r>
        <w:t>.—</w:t>
      </w:r>
      <w:proofErr w:type="gramEnd"/>
      <w:r>
        <w:t>XIII. CORRECTA EJECUCIÓN DE LOS CONTRATOS DE CRÉDITO Y DERECHOS CONEXOS: 1. REEMBOLSO ANTICIPADO. 2. INFORMACIÓN SOBRE CAMBIOS DEL TIPO DEUDOR. 3. DEMORAS Y EJECUCIONES HIPOTECARIAS</w:t>
      </w:r>
      <w:proofErr w:type="gramStart"/>
      <w:r>
        <w:t>.—</w:t>
      </w:r>
      <w:proofErr w:type="gramEnd"/>
      <w:r>
        <w:t>XIV.REQUISITOS EN MATERIA DE ESTABLECIMIENTO Y DE SUPERVISIÓN DE LOS INTERMEDIARIOS DE CRÉDITO Y REPRESENTANTES DESIGNADOS: 1. RECONOCIMIENTO DE LOS INTERMEDIARIOS DE CRÉDITO. 2. INTERMEDIARIOS DE CRÉDITO VINCULADOS A UN SOLO PRESTAMISTA. 3. REPRESENTANTES DESIGNADOS. 4. LIBERTAD DE ESTABLECIMIENTO Y LIBRE PRESTACIÓN DE SERVICIOS DE LOS INTERMEDIARIOS DE CRÉDITO. 5. REVOCACIÓN DEL RECONOCIMIENTO DE UN INTERMEDIARIO DE CRÉDITO. 6. SUPERVISIÓN DE LOS INTERMEDIARIOS DE CRÉDITO</w:t>
      </w:r>
      <w:proofErr w:type="gramStart"/>
      <w:r>
        <w:t>.—</w:t>
      </w:r>
      <w:proofErr w:type="gramEnd"/>
      <w:r>
        <w:t>XV. COOPERACIÓN ENTRE LAS AUTORIDADES COMPETENTES DE DISTINTOS ESTADOS MIEMBROS</w:t>
      </w:r>
      <w:proofErr w:type="gramStart"/>
      <w:r>
        <w:t>.—</w:t>
      </w:r>
      <w:proofErr w:type="gramEnd"/>
      <w:r>
        <w:t>XVI. DISPOSICIONES FINALES Y TRANSITORIA</w:t>
      </w:r>
      <w:proofErr w:type="gramStart"/>
      <w:r>
        <w:t>.—</w:t>
      </w:r>
      <w:proofErr w:type="gramEnd"/>
      <w:r>
        <w:t>XVII. CONCLUSIONES.</w:t>
      </w:r>
    </w:p>
    <w:p w:rsidR="00D25450" w:rsidRDefault="00D25450">
      <w:bookmarkStart w:id="0" w:name="_GoBack"/>
      <w:bookmarkEnd w:id="0"/>
    </w:p>
    <w:sectPr w:rsidR="00D25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4"/>
    <w:rsid w:val="009E59F4"/>
    <w:rsid w:val="00D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2018-01-24T11:53:00Z</dcterms:created>
  <dcterms:modified xsi:type="dcterms:W3CDTF">2018-01-24T11:53:00Z</dcterms:modified>
</cp:coreProperties>
</file>