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F" w:rsidRDefault="002A43FC" w:rsidP="002A43FC">
      <w:pPr>
        <w:jc w:val="both"/>
      </w:pPr>
      <w:bookmarkStart w:id="0" w:name="_GoBack"/>
      <w:r>
        <w:t>I. INTRODUCCIÓN. —II. LA DACIÓN EN PAGO: 1. Concepto. 2. Regulación actual de la dación en pago. 3. Efectos de la dación en pago: A) Gastos de formalización. B) La cancelación de la hipoteca</w:t>
      </w:r>
      <w:proofErr w:type="gramStart"/>
      <w:r>
        <w:t>.—</w:t>
      </w:r>
      <w:proofErr w:type="gramEnd"/>
      <w:r>
        <w:t xml:space="preserve">III. EL FRESH START O MEDIDAS DE SEGUNDA OPORTUNIDAD: 1. Ley 25/2015, de 28 de julio, de mecanismo de segunda oportunidad, reducción de la carga financiera y otras medidas de orden social. 2. ¿El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o la dación en pago?—IV. CONCLUSIONES</w:t>
      </w:r>
      <w:proofErr w:type="gramStart"/>
      <w:r>
        <w:t>.—</w:t>
      </w:r>
      <w:proofErr w:type="gramEnd"/>
      <w:r>
        <w:t>V. BIBLIOGRAFÍA.</w:t>
      </w:r>
      <w:bookmarkEnd w:id="0"/>
    </w:p>
    <w:sectPr w:rsidR="00AD5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C"/>
    <w:rsid w:val="002A43FC"/>
    <w:rsid w:val="00A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2018-01-25T10:10:00Z</dcterms:created>
  <dcterms:modified xsi:type="dcterms:W3CDTF">2018-01-25T10:11:00Z</dcterms:modified>
</cp:coreProperties>
</file>