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FB" w:rsidRDefault="00885F02" w:rsidP="00885F02">
      <w:pPr>
        <w:jc w:val="both"/>
      </w:pPr>
      <w:r>
        <w:t>I. INTRODUCCIÓN</w:t>
      </w:r>
      <w:proofErr w:type="gramStart"/>
      <w:r>
        <w:t>.—</w:t>
      </w:r>
      <w:proofErr w:type="gramEnd"/>
      <w:r>
        <w:t>II. LA LABOR DE LA LAW COMMISSION EN EL MANTENIMIENTO DE UN SISTEMA JURÍDICO ACTUALIZADO, JUSTO Y EFICAZ</w:t>
      </w:r>
      <w:proofErr w:type="gramStart"/>
      <w:r>
        <w:t>.—</w:t>
      </w:r>
      <w:proofErr w:type="gramEnd"/>
      <w:r>
        <w:t>III. CARACTERES ESENCIALES DEL SISTEMA MATRIMONIAL VIGENTE EN INGLATERRA Y GALES</w:t>
      </w:r>
      <w:proofErr w:type="gramStart"/>
      <w:r>
        <w:t>.—</w:t>
      </w:r>
      <w:proofErr w:type="gramEnd"/>
      <w:r>
        <w:t>IV. LAS RAZONES SUBYACENTES A LA FRUSTRACIÓN DE LOS ANTERIORES FALLIDOS INTENTOS DE REFORMA DEL SISTEMA MATRIMONIAL INGLÉS.—V. EL PROYECTO DE REVISIÓN DEL DERECHO MATRIMONIAL INGLÉS ACTUALMENTE EN CURSO: EL INFORME DE LA LAW COMMISSION DE 17 DE DICIEMBRE DE 2015.—VI. C</w:t>
      </w:r>
      <w:bookmarkStart w:id="0" w:name="_GoBack"/>
      <w:bookmarkEnd w:id="0"/>
      <w:r>
        <w:t>ONCLUSIONES.</w:t>
      </w:r>
    </w:p>
    <w:sectPr w:rsidR="00904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02"/>
    <w:rsid w:val="00885F02"/>
    <w:rsid w:val="0090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2018-01-23T09:08:00Z</dcterms:created>
  <dcterms:modified xsi:type="dcterms:W3CDTF">2018-01-23T09:09:00Z</dcterms:modified>
</cp:coreProperties>
</file>