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F4" w:rsidRDefault="00D43645" w:rsidP="00D43645">
      <w:pPr>
        <w:jc w:val="both"/>
      </w:pPr>
      <w:bookmarkStart w:id="0" w:name="_GoBack"/>
      <w:r>
        <w:t>I. APROXIMACIÓN AL CONCEPTO DE SANEAMIENTO Y AL DE EVICCIÓN</w:t>
      </w:r>
      <w:proofErr w:type="gramStart"/>
      <w:r>
        <w:t>.—</w:t>
      </w:r>
      <w:proofErr w:type="gramEnd"/>
      <w:r>
        <w:t xml:space="preserve">II. REQUISITOS QUE </w:t>
      </w:r>
      <w:bookmarkEnd w:id="0"/>
      <w:r>
        <w:t>REQUIERE LA ACCIÓN DE SANEAMIENTO POR EVICCIÓN</w:t>
      </w:r>
      <w:proofErr w:type="gramStart"/>
      <w:r>
        <w:t>.—</w:t>
      </w:r>
      <w:proofErr w:type="gramEnd"/>
      <w:r>
        <w:t>III. POSIBLES PACTOS SOBRE EL SANEAMIENTO POR EVICCIÓN</w:t>
      </w:r>
      <w:proofErr w:type="gramStart"/>
      <w:r>
        <w:t>.—</w:t>
      </w:r>
      <w:proofErr w:type="gramEnd"/>
      <w:r>
        <w:t>IV. EFECTOS DEL SANEAMIENTO POR EVICCIÓN</w:t>
      </w:r>
      <w:proofErr w:type="gramStart"/>
      <w:r>
        <w:t>.—</w:t>
      </w:r>
      <w:proofErr w:type="gramEnd"/>
      <w:r>
        <w:t>V. SANEAMIENTO POR CARGAS OCULTAS.—VI. LA APUESTA DE LA COMISIÓN REDACTORA DEL CÓDIGO CIVIL POR LA SUPRESIÓN DEL SANEAMIENTO POR EVICCIÓN EN LA REFORMA DE LA COMPRAVENTA EN EL CÓDIGO CIVIL</w:t>
      </w:r>
      <w:proofErr w:type="gramStart"/>
      <w:r>
        <w:t>.—</w:t>
      </w:r>
      <w:proofErr w:type="gramEnd"/>
      <w:r>
        <w:t>VII. CONCLUSIONES</w:t>
      </w:r>
      <w:proofErr w:type="gramStart"/>
      <w:r>
        <w:t>.—</w:t>
      </w:r>
      <w:proofErr w:type="gramEnd"/>
      <w:r>
        <w:t>VIII. ÍNDICE DE RESOLUCIONES CITADAS. —IX. BIBLIOGRAFÍA.</w:t>
      </w:r>
    </w:p>
    <w:sectPr w:rsidR="003F2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45"/>
    <w:rsid w:val="003F22F4"/>
    <w:rsid w:val="00D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2018-01-26T10:18:00Z</dcterms:created>
  <dcterms:modified xsi:type="dcterms:W3CDTF">2018-01-26T10:19:00Z</dcterms:modified>
</cp:coreProperties>
</file>