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C3" w:rsidRDefault="00E94FFE" w:rsidP="00E94FFE">
      <w:pPr>
        <w:jc w:val="both"/>
      </w:pPr>
      <w:r>
        <w:t>I. P</w:t>
      </w:r>
      <w:bookmarkStart w:id="0" w:name="_GoBack"/>
      <w:bookmarkEnd w:id="0"/>
      <w:r>
        <w:t>LANTEAMIENTO</w:t>
      </w:r>
      <w:proofErr w:type="gramStart"/>
      <w:r>
        <w:t>.—</w:t>
      </w:r>
      <w:proofErr w:type="gramEnd"/>
      <w:r>
        <w:t xml:space="preserve"> II. EL DESISTIMIENTO DEL ARRENDATARIO SEGÚN LA FECHA DEL CONTRATO DE ARRENDAMIENTO</w:t>
      </w:r>
      <w:proofErr w:type="gramStart"/>
      <w:r>
        <w:t>.—</w:t>
      </w:r>
      <w:proofErr w:type="gramEnd"/>
      <w:r>
        <w:t>III. LA SENTENCIA DEL TS DE 18 DE MARZO DE 2016: 1. Los HECHOS. 2. LA DOCTRINA DEL TRIBUNAL SUPREMO</w:t>
      </w:r>
      <w:proofErr w:type="gramStart"/>
      <w:r>
        <w:t>.—</w:t>
      </w:r>
      <w:proofErr w:type="gramEnd"/>
      <w:r>
        <w:t>IV. LA MODERACIÓN JUDICIAL DE LA CLÁUSULA PENAL: 1. Requisitos de la moderación. 2. Jurisprudencia del TS sobre el cumplimiento parcial o irregular para moderar EX artículo 1154 del Código Civil. 3. El carácter imperativo del artículo 1154. 4. Criterios de la moderación</w:t>
      </w:r>
      <w:proofErr w:type="gramStart"/>
      <w:r>
        <w:t>.—</w:t>
      </w:r>
      <w:proofErr w:type="gramEnd"/>
      <w:r>
        <w:t>V. BIBLIOGRAFÍA.—VI. ÍNDICE DE RESOLUCIONES CITADAS.</w:t>
      </w:r>
    </w:p>
    <w:sectPr w:rsidR="00317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FE"/>
    <w:rsid w:val="003178C3"/>
    <w:rsid w:val="00E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2018-01-26T09:18:00Z</dcterms:created>
  <dcterms:modified xsi:type="dcterms:W3CDTF">2018-01-26T09:18:00Z</dcterms:modified>
</cp:coreProperties>
</file>