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96" w:rsidRDefault="00681905" w:rsidP="00681905">
      <w:pPr>
        <w:jc w:val="both"/>
      </w:pPr>
      <w:bookmarkStart w:id="0" w:name="_GoBack"/>
      <w:r>
        <w:t>I. CUESTIONES PRELIMINARES</w:t>
      </w:r>
      <w:proofErr w:type="gramStart"/>
      <w:r>
        <w:t>.—</w:t>
      </w:r>
      <w:proofErr w:type="gramEnd"/>
      <w:r>
        <w:t>II. LA NUEVA CONCEPCIÓN DEL CONTROL DE TRANSPARENCIA PARA DETERMINAR LA ABUSIVIDAD DE LA CLÁUSULA. —III. NULIDAD DE LA CLÁUSULA SUELO Y LA SORPRENDENTE EXCEPCIÓN A LA RETRO ACTIVIDAD DE LOS EFECTOS DE LA MISMA</w:t>
      </w:r>
      <w:proofErr w:type="gramStart"/>
      <w:r>
        <w:t>.—</w:t>
      </w:r>
      <w:proofErr w:type="gramEnd"/>
      <w:r>
        <w:t>IV. CONCLUSIONES.</w:t>
      </w:r>
      <w:bookmarkEnd w:id="0"/>
    </w:p>
    <w:sectPr w:rsidR="001C6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05"/>
    <w:rsid w:val="001C6996"/>
    <w:rsid w:val="006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2018-01-29T09:24:00Z</dcterms:created>
  <dcterms:modified xsi:type="dcterms:W3CDTF">2018-01-29T09:24:00Z</dcterms:modified>
</cp:coreProperties>
</file>