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93" w:rsidRDefault="0025385C" w:rsidP="0025385C">
      <w:pPr>
        <w:jc w:val="both"/>
      </w:pPr>
      <w:r>
        <w:t>I. PROLEGÓMENOS: LA TRANSMISIBILIDAD</w:t>
      </w:r>
      <w:bookmarkStart w:id="0" w:name="_GoBack"/>
      <w:bookmarkEnd w:id="0"/>
      <w:r>
        <w:t xml:space="preserve"> DE LAS DEUDAS A LOS HEREDEROS DEL CAUSANTE Y LA PRIVACIÓN DEL DERECHO DE SEPULTURA DEL DEUDOR: 1. La OBLIGATIO y el vínculo como nexo personal: el dogma de la intransmisibilidad y sus consecuencias sobre los restos mortales del causante deudor: A) La promesa formal del estipulante y la responsabilidad de las deudas. B) La pervivencia de las relaciones obligatorias del causante y la privación del derecho de sepultura: su origen remoto germánico ante la visión personalísima de la deuda. 2. El fuero real y la unificación del derecho castellano: los cambios de deudor en las fuentes de la baja y de la moderna edad media: A) La privación de entierro del deudor: su práctica inveterada y recurrente prohibición. B) El derecho funerario: calificación civil del cadáver y tipificación de los delito de respeto a los difuntos</w:t>
      </w:r>
      <w:proofErr w:type="gramStart"/>
      <w:r>
        <w:t>.—</w:t>
      </w:r>
      <w:proofErr w:type="gramEnd"/>
      <w:r>
        <w:t>II. EL CADÁVER COMO RES COMMUNES OMNIO O «COMÚN»: CONSECUENCIAS JURÍDICAS Y CONTROVERSIAS JURISDICCIONALES 1. EL CADÁVER COMO COSA COMÚN E INAPROPIABLE: SU INTRANSMISIBILIDAD. 2. DERECHO DE DISPOSICIÓN SOBRE LA FORMA DE LAS EXEQUIAS. 3. LA SAP DE HUELVA, DE 4 DE SEPTIEMBRE DE 2014 Y LA SAP DE CÁDIZ, DE 14 DE ABRIL DE 2000: EL DERECHO FUNERARIO</w:t>
      </w:r>
      <w:proofErr w:type="gramStart"/>
      <w:r>
        <w:t>.—</w:t>
      </w:r>
      <w:proofErr w:type="gramEnd"/>
      <w:r>
        <w:t>III. SALA PRIMERA. SENTENCIA DEL TC 11/2016, DE 1 DE FEBRERO DE 2016</w:t>
      </w:r>
      <w:proofErr w:type="gramStart"/>
      <w:r>
        <w:t>.—</w:t>
      </w:r>
      <w:proofErr w:type="gramEnd"/>
      <w:r>
        <w:t>IV LA ELASTICIDAD DEL DERECHO A LA INTIMIDAD PERSONAL Y FAMILIAR Y SU CAPACIDAD PARA RETOMAR EL NÚCLEO ESENCIAL ¿EXISTE UN PUNTO SIN RETORNO QUE DEFORME Y VACÍE DE CONTENIDO POR EXCESO A ESTE DERECHO FUNDAMENTAL?—V. CONCLUSIONES.—VI. BIBLIOGRAFÍA</w:t>
      </w:r>
      <w:proofErr w:type="gramStart"/>
      <w:r>
        <w:t>.—</w:t>
      </w:r>
      <w:proofErr w:type="gramEnd"/>
      <w:r>
        <w:t>VII. ÍNDICE DE RESOLUCIONES CITADAS.</w:t>
      </w:r>
    </w:p>
    <w:sectPr w:rsidR="00227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5C"/>
    <w:rsid w:val="00227293"/>
    <w:rsid w:val="002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2018-01-25T11:50:00Z</dcterms:created>
  <dcterms:modified xsi:type="dcterms:W3CDTF">2018-01-25T11:50:00Z</dcterms:modified>
</cp:coreProperties>
</file>