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6A" w:rsidRDefault="00573CB3" w:rsidP="00573CB3">
      <w:pPr>
        <w:jc w:val="both"/>
      </w:pPr>
      <w:bookmarkStart w:id="0" w:name="_GoBack"/>
      <w:r>
        <w:t>SUMARIO: I. INTRODUCCIÓN: NUEVOS TIEMPOS, ANTIGUAS INSTITUCIONES</w:t>
      </w:r>
      <w:proofErr w:type="gramStart"/>
      <w:r>
        <w:t>.—</w:t>
      </w:r>
      <w:proofErr w:type="gramEnd"/>
      <w:r>
        <w:t>II. LA SUCESIÓN NOBILIARIA Y LA FILIACIÓN ADOPTIVA: REGIMEN JURIDICO. 1. TESIS CLÁSICA DE EXCLUSIÓN DE LOS HIJOS ADOPTIVOS DE LA SUCESIÓN NOBILIARIA. 2. ESPECIALIDAD DE LA SUCESIÓN NOBILIARIA: LA CONSANGUINIDAD. 3. EL JUEGO DE LA VOLUNTAD DEL POSEEDOR DEL TÍTULO. 4. LA AUTORIZACIÓN POR REAL DECRETO DE LA SUCESIÓN POR HIJO ADOPTIVO</w:t>
      </w:r>
      <w:proofErr w:type="gramStart"/>
      <w:r>
        <w:t>.—</w:t>
      </w:r>
      <w:proofErr w:type="gramEnd"/>
      <w:r>
        <w:t>III. LA APLICACIÓN DEL PRINCIPIO DE IGUALDAD. 1. LA EXCLUSIÓN DEL PRINCIPIO DE IGUALDAD EN LA SUCESIÓN NOBILIARIA. 2. PRINCIPIO DE IGUALDAD Y DISCRIMINACIÓN POR RAZÓN DE SEXO EN LA SUCESIÓN NOBILIARIA</w:t>
      </w:r>
      <w:proofErr w:type="gramStart"/>
      <w:r>
        <w:t>.—</w:t>
      </w:r>
      <w:proofErr w:type="gramEnd"/>
      <w:r>
        <w:t>IV. CONCLUSIONES.</w:t>
      </w:r>
      <w:bookmarkEnd w:id="0"/>
    </w:p>
    <w:sectPr w:rsidR="00141B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B3"/>
    <w:rsid w:val="00141B6A"/>
    <w:rsid w:val="0057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2018-01-31T09:08:00Z</dcterms:created>
  <dcterms:modified xsi:type="dcterms:W3CDTF">2018-01-31T09:09:00Z</dcterms:modified>
</cp:coreProperties>
</file>