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E" w:rsidRDefault="004E3E61" w:rsidP="004E3E61">
      <w:pPr>
        <w:jc w:val="both"/>
      </w:pPr>
      <w:bookmarkStart w:id="0" w:name="_GoBack"/>
      <w:bookmarkEnd w:id="0"/>
      <w:r>
        <w:t>I. INTRODUCCIÓN</w:t>
      </w:r>
      <w:proofErr w:type="gramStart"/>
      <w:r>
        <w:t>.—</w:t>
      </w:r>
      <w:proofErr w:type="gramEnd"/>
      <w:r>
        <w:t>II. DELIMITACIÓN DE LA NATURALEZA DEL DERECHO FINANCIERO ISLÁMICO</w:t>
      </w:r>
      <w:proofErr w:type="gramStart"/>
      <w:r>
        <w:t>.—</w:t>
      </w:r>
      <w:proofErr w:type="gramEnd"/>
      <w:r>
        <w:t>III. ESQUEMAS DE FINANCIACIÓN ISLÁMICOS</w:t>
      </w:r>
      <w:proofErr w:type="gramStart"/>
      <w:r>
        <w:t>.—</w:t>
      </w:r>
      <w:proofErr w:type="gramEnd"/>
      <w:r>
        <w:t>IV. EL DERECHO ISLÁMICO COMO LEY APLICABLE. —V. LEY APLICABLE A FALTA DE ELECCIÓN</w:t>
      </w:r>
      <w:proofErr w:type="gramStart"/>
      <w:r>
        <w:t>.—</w:t>
      </w:r>
      <w:proofErr w:type="gramEnd"/>
      <w:r>
        <w:t>VI. CONCLUSIONES.</w:t>
      </w:r>
    </w:p>
    <w:sectPr w:rsidR="004F6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61"/>
    <w:rsid w:val="004E3E61"/>
    <w:rsid w:val="004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2018-01-29T09:38:00Z</dcterms:created>
  <dcterms:modified xsi:type="dcterms:W3CDTF">2018-01-29T09:39:00Z</dcterms:modified>
</cp:coreProperties>
</file>