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0F" w:rsidRDefault="00A561E8" w:rsidP="00A561E8">
      <w:pPr>
        <w:jc w:val="both"/>
      </w:pPr>
      <w:r>
        <w:t>I.</w:t>
      </w:r>
      <w:bookmarkStart w:id="0" w:name="_GoBack"/>
      <w:bookmarkEnd w:id="0"/>
      <w:r>
        <w:t xml:space="preserve"> INTRODUCCIÓN</w:t>
      </w:r>
      <w:proofErr w:type="gramStart"/>
      <w:r>
        <w:t>.—</w:t>
      </w:r>
      <w:proofErr w:type="gramEnd"/>
      <w:r>
        <w:t>II. PRINCIPAL JURISPRUDENCIA DEL TRIBUNAL SUPREMO SOBRE LA CADUCIDAD DE LAS ACCIONES DE VICIO EN EL CONSENTIMIENTO EN LA CONTRATACIÓN DE PRODUCTOS BANCARIOS O DE INVERSIÓN: 1. STS de 12 de enero de 2015: A) Antecedentes. B) Doctrina relevante sobre la caducidad. 2. STS de 7 de julio de 2015: A) Cuestiones fácticas y procesales previas. B) Pronunciamientos de especial interés. 3. STS de 16 de septiembre de 2015: A) Aspectos procesales y fácticos de importancia. B) Postulados de interés de la sentencia en materia de caducidad</w:t>
      </w:r>
      <w:proofErr w:type="gramStart"/>
      <w:r>
        <w:t>.—</w:t>
      </w:r>
      <w:proofErr w:type="gramEnd"/>
      <w:r>
        <w:t xml:space="preserve"> III. PRONUNCIAMIENTOS POSTERIORES DE LOS TRIBUNALES</w:t>
      </w:r>
      <w:proofErr w:type="gramStart"/>
      <w:r>
        <w:t>.—</w:t>
      </w:r>
      <w:proofErr w:type="gramEnd"/>
      <w:r>
        <w:t>IV. CONCLUSIONES. —V. BIBLIOGRAFÍA</w:t>
      </w:r>
      <w:proofErr w:type="gramStart"/>
      <w:r>
        <w:t>.—</w:t>
      </w:r>
      <w:proofErr w:type="gramEnd"/>
      <w:r>
        <w:t>VI. JURISPRUDENCIA CONSULTADA.</w:t>
      </w:r>
    </w:p>
    <w:sectPr w:rsidR="007E7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8"/>
    <w:rsid w:val="007E790F"/>
    <w:rsid w:val="00A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2018-01-25T09:48:00Z</dcterms:created>
  <dcterms:modified xsi:type="dcterms:W3CDTF">2018-01-25T09:49:00Z</dcterms:modified>
</cp:coreProperties>
</file>