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23" w:rsidRDefault="00640CAE" w:rsidP="00640CAE">
      <w:pPr>
        <w:jc w:val="both"/>
      </w:pPr>
      <w:r>
        <w:t>I. LO</w:t>
      </w:r>
      <w:bookmarkStart w:id="0" w:name="_GoBack"/>
      <w:bookmarkEnd w:id="0"/>
      <w:r>
        <w:t>S TÉRMINOS DE LA RESOLUCIÓN DE 29 DE JULIO DE 2016</w:t>
      </w:r>
      <w:proofErr w:type="gramStart"/>
      <w:r>
        <w:t>.—</w:t>
      </w:r>
      <w:proofErr w:type="gramEnd"/>
      <w:r>
        <w:t>II. EL OBJETO DEL RÉGIMEN DE FUERA DE ORDENACIÓN. —III. CONSECUENCIAS PATRIMONIALES DERIVADAS DE LA ADMISIBLE APARICICIÓN SOBREVENDIA DE UNA PARCELA INFERIOR A LA MÍNIMA EN EJECUCIÓN DEL PLANEAMIENTO: 1. CONSIDERACIÓN INICIAL. 2. SOBRE LAS VINCULACIONES SINGULARES COMO SUPUESTO INDEMNIZATORIO. 3. LA CREACIÓN DE UNA PARCELA INFERIOR A LA MÍNIMA COMO SUPUESTO DE VINCULACIÓN SINGULAR SUSCEPTIBLE DE INDEMNIZACIÓN</w:t>
      </w:r>
      <w:proofErr w:type="gramStart"/>
      <w:r>
        <w:t>.—</w:t>
      </w:r>
      <w:proofErr w:type="gramEnd"/>
      <w:r>
        <w:t>IV. EL CARÁCTER POTESTATIVO DEL RÉGIMEN DE FUERA DE FUERA DE ORDENACIÓN.</w:t>
      </w:r>
    </w:p>
    <w:sectPr w:rsidR="00AE6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AE"/>
    <w:rsid w:val="00640CAE"/>
    <w:rsid w:val="00A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2018-01-24T08:49:00Z</dcterms:created>
  <dcterms:modified xsi:type="dcterms:W3CDTF">2018-01-24T08:49:00Z</dcterms:modified>
</cp:coreProperties>
</file>