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2E" w:rsidRPr="0085422E" w:rsidRDefault="0085422E" w:rsidP="008542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bookmarkStart w:id="0" w:name="_GoBack"/>
      <w:bookmarkEnd w:id="0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NTRODUCCIÓN</w:t>
      </w:r>
      <w:proofErr w:type="gramStart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II. PRESUPUESTOS: QUIENES PUEDEN, O NO PUEDEN, ACCEDER AL AEP</w:t>
      </w:r>
      <w:proofErr w:type="gramStart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III. LA SOLICITUD DE AEP</w:t>
      </w:r>
      <w:proofErr w:type="gramStart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IV. DESIGNACIÓN DEL MEDIADOR CONCURSAL</w:t>
      </w:r>
      <w:proofErr w:type="gramStart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V. EFECTOS DE LA INICIACIÓN DEL PROCEDIMIENTO.—VI. TRAMITACIÓN DEL PROCEDIMIENTO HASTA LA REUNIÓN DEL DEUDOR CON SUS ACREEDORES</w:t>
      </w:r>
      <w:proofErr w:type="gramStart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VII. LA ADOPCIÓN DEL ACUERDO EXTRAJUDICIAL DE PAGOS</w:t>
      </w:r>
      <w:proofErr w:type="gramStart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VIII. EFECTOS DEL ACUERDO SOBRE LOS ACREEDORES</w:t>
      </w:r>
      <w:proofErr w:type="gramStart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IX. IMPUGNACIÓN DEL ACUERDO EXTRAJUDICIAL DE PAGOS</w:t>
      </w:r>
      <w:proofErr w:type="gramStart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X. EL CONCURSO CONSECUTIVO. ESPECIALIDADES. —XI. CONCLUSIONES</w:t>
      </w:r>
      <w:proofErr w:type="gramStart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5422E">
        <w:rPr>
          <w:rFonts w:ascii="Times New Roman" w:eastAsia="Times New Roman" w:hAnsi="Times New Roman" w:cs="Times New Roman"/>
          <w:sz w:val="24"/>
          <w:szCs w:val="24"/>
          <w:lang w:eastAsia="es-ES"/>
        </w:rPr>
        <w:t>XII. ÍNDICE DE RESOLUCIONES CITADAS. —XIII. BIBLIOGRAFÍA.</w:t>
      </w:r>
    </w:p>
    <w:p w:rsidR="00C528DA" w:rsidRDefault="00C528DA"/>
    <w:sectPr w:rsidR="00C52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082A"/>
    <w:multiLevelType w:val="multilevel"/>
    <w:tmpl w:val="D626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2E"/>
    <w:rsid w:val="0085422E"/>
    <w:rsid w:val="00C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2018-01-23T10:01:00Z</dcterms:created>
  <dcterms:modified xsi:type="dcterms:W3CDTF">2018-01-23T10:02:00Z</dcterms:modified>
</cp:coreProperties>
</file>