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66" w:rsidRDefault="00C12D60" w:rsidP="00C12D60">
      <w:pPr>
        <w:jc w:val="both"/>
      </w:pPr>
      <w:r>
        <w:t>I.</w:t>
      </w:r>
      <w:bookmarkStart w:id="0" w:name="_GoBack"/>
      <w:bookmarkEnd w:id="0"/>
      <w:r>
        <w:t xml:space="preserve"> INTRODUCCIÓN</w:t>
      </w:r>
      <w:proofErr w:type="gramStart"/>
      <w:r>
        <w:t>.—</w:t>
      </w:r>
      <w:proofErr w:type="gramEnd"/>
      <w:r>
        <w:t>II. LA REFORMA DEL REAL DECRETOLEY 6/2012, DE 9 DE MARZO Y DEL CÓDIGO DE BUENAS PRÁCTICAS: 1. REFORMA OPERADA POR LA LEY 1/2013, DE 14 DE MAYO, DE MEDIDAS PARA REFORZAR LA PROTECCIÓN DE LOS DEUDORES HIPOTECARIOS, REESTRUCTURACIÓN DE DEUDA Y ALQUILER SOCIAL. A) Régimen transitorio. B) Modificaciones en el ámbito de aplicación. C) Modificaciones en las medidas de reestructuración viable de la deuda hipotecaria. a) Moderación de intereses moratorios. b) código de Buenas Prácticas. 2. REFORMA OPERADA POR LA LEY 25/2015, DE 28 DE JULIO, DE MECANISMO DE SEGUNDA OPORTUNIDAD, REDUCCIÓN DE LA CARGA FINANCIERA Y OTRAS MEDIDAS DE ORDEN SOCIAL. A) La inicial reforma del Real Decreto-ley 1/2015, de mecanismo de segunda oportunidad, reducción de carga financiera y otras medidas de orden social. B) Mantenimiento de la reforma operada por el Real Decreto-ley 1/2015, en la Ley 25/2015, de 28 de julio, de mecanismo de segunda oportunidad</w:t>
      </w:r>
      <w:proofErr w:type="gramStart"/>
      <w:r>
        <w:t>.—</w:t>
      </w:r>
      <w:proofErr w:type="gramEnd"/>
      <w:r>
        <w:t>III. CONGLUSIONES</w:t>
      </w:r>
      <w:proofErr w:type="gramStart"/>
      <w:r>
        <w:t>.—</w:t>
      </w:r>
      <w:proofErr w:type="gramEnd"/>
      <w:r>
        <w:t>IV. ÍNDICE DE RESOLUCIONES CITADAS</w:t>
      </w:r>
      <w:proofErr w:type="gramStart"/>
      <w:r>
        <w:t>.—</w:t>
      </w:r>
      <w:proofErr w:type="gramEnd"/>
      <w:r>
        <w:t>V. BIBLIOGRAFÍA.</w:t>
      </w:r>
    </w:p>
    <w:sectPr w:rsidR="005523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60"/>
    <w:rsid w:val="00552366"/>
    <w:rsid w:val="00C12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2018-01-25T11:38:00Z</dcterms:created>
  <dcterms:modified xsi:type="dcterms:W3CDTF">2018-01-25T11:39:00Z</dcterms:modified>
</cp:coreProperties>
</file>