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4D" w:rsidRPr="00E26C4D" w:rsidRDefault="00E26C4D" w:rsidP="00E26C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r w:rsidRPr="00E26C4D">
        <w:rPr>
          <w:rFonts w:ascii="Times New Roman" w:eastAsia="Times New Roman" w:hAnsi="Times New Roman" w:cs="Times New Roman"/>
          <w:sz w:val="24"/>
          <w:szCs w:val="24"/>
          <w:lang w:eastAsia="es-ES"/>
        </w:rPr>
        <w:t>INTRODUCCIÓN</w:t>
      </w:r>
      <w:proofErr w:type="gramStart"/>
      <w:r w:rsidRPr="00E26C4D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E26C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II. REFORMA EN EL REQUISITO DE LA BUENA FE </w:t>
      </w:r>
      <w:bookmarkEnd w:id="0"/>
      <w:r w:rsidRPr="00E26C4D">
        <w:rPr>
          <w:rFonts w:ascii="Times New Roman" w:eastAsia="Times New Roman" w:hAnsi="Times New Roman" w:cs="Times New Roman"/>
          <w:sz w:val="24"/>
          <w:szCs w:val="24"/>
          <w:lang w:eastAsia="es-ES"/>
        </w:rPr>
        <w:t>NECESARIA PARA EL ACCESO A LA EXONERACIÓN. 1. EL TRÁNSITO DE LA PRESUNCIÓN DE DOLO O CULPA GRAVE EN EL ARTÍCULO 165.1.1</w:t>
      </w:r>
      <w:proofErr w:type="gramStart"/>
      <w:r w:rsidRPr="00E26C4D">
        <w:rPr>
          <w:rFonts w:ascii="Times New Roman" w:eastAsia="Times New Roman" w:hAnsi="Times New Roman" w:cs="Times New Roman"/>
          <w:sz w:val="24"/>
          <w:szCs w:val="24"/>
          <w:lang w:eastAsia="es-ES"/>
        </w:rPr>
        <w:t>.°</w:t>
      </w:r>
      <w:proofErr w:type="gramEnd"/>
      <w:r w:rsidRPr="00E26C4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LC A LA PRESUNCIÓN DE CULPABILIDAD DEL CONCURSO. 2. EL REQUISITO DE «CALIFICACIÓN DEL CONCURSO NO CULPABLE» PARA EL ACCESO A LA EXONERACIÓN DEL PASIVO INSATISFECHO. NOVEDADES INTRODUCIDAS POR LA LEY 25/2015. 3. EL REQUISITO DE PUBLICIDAD EN EL REGISTRO PÚBLICO CONCURSAL</w:t>
      </w:r>
      <w:proofErr w:type="gramStart"/>
      <w:r w:rsidRPr="00E26C4D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E26C4D">
        <w:rPr>
          <w:rFonts w:ascii="Times New Roman" w:eastAsia="Times New Roman" w:hAnsi="Times New Roman" w:cs="Times New Roman"/>
          <w:sz w:val="24"/>
          <w:szCs w:val="24"/>
          <w:lang w:eastAsia="es-ES"/>
        </w:rPr>
        <w:t>III. REFORMAS RELATIVAS A LAS CAUSAS DE REVOCACIÓN DEL BENEFICIO DE LA EXONERACIÓN: 1. CAUSAS DE REVOCACIÓN EN EL CASO DE ACCESO A LA EXONERACIÓN POR LA VÍA DE LA MODALIDAD «A»: UMBRAL DE PASIVO MÍNIMO SATISFECHO. 2. CAUSAS DE REVOCACIÓN EN EL CASO DE ACCESO A LA EXONERACIÓN POR LA VÍA DE LA MODALIDAD «B»: SOMETIMIENTO A UN PLAN DE PAGOS SIN NECESIDAD DE HABER SATISFECHO UN UMBRAL DE PASIVO MÍNIMO</w:t>
      </w:r>
      <w:proofErr w:type="gramStart"/>
      <w:r w:rsidRPr="00E26C4D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E26C4D">
        <w:rPr>
          <w:rFonts w:ascii="Times New Roman" w:eastAsia="Times New Roman" w:hAnsi="Times New Roman" w:cs="Times New Roman"/>
          <w:sz w:val="24"/>
          <w:szCs w:val="24"/>
          <w:lang w:eastAsia="es-ES"/>
        </w:rPr>
        <w:t>IV. MODIFICACIONES EN RELACIÓN AL REQUISITO DEL CUMPLIMIENTO POR EL DEUDOR DEL PLAN DE PAGOS</w:t>
      </w:r>
      <w:proofErr w:type="gramStart"/>
      <w:r w:rsidRPr="00E26C4D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E26C4D">
        <w:rPr>
          <w:rFonts w:ascii="Times New Roman" w:eastAsia="Times New Roman" w:hAnsi="Times New Roman" w:cs="Times New Roman"/>
          <w:sz w:val="24"/>
          <w:szCs w:val="24"/>
          <w:lang w:eastAsia="es-ES"/>
        </w:rPr>
        <w:t>V. CONCLUSIONES.—VI. ÍNDICE DE RESOLUCIONES CITADAS</w:t>
      </w:r>
      <w:proofErr w:type="gramStart"/>
      <w:r w:rsidRPr="00E26C4D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E26C4D">
        <w:rPr>
          <w:rFonts w:ascii="Times New Roman" w:eastAsia="Times New Roman" w:hAnsi="Times New Roman" w:cs="Times New Roman"/>
          <w:sz w:val="24"/>
          <w:szCs w:val="24"/>
          <w:lang w:eastAsia="es-ES"/>
        </w:rPr>
        <w:t>VII. BIBLIOGRAFÍA.</w:t>
      </w:r>
    </w:p>
    <w:p w:rsidR="008671F9" w:rsidRDefault="008671F9"/>
    <w:sectPr w:rsidR="008671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471E"/>
    <w:multiLevelType w:val="multilevel"/>
    <w:tmpl w:val="3DC2C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4D"/>
    <w:rsid w:val="008671F9"/>
    <w:rsid w:val="00E2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2018-01-26T09:13:00Z</dcterms:created>
  <dcterms:modified xsi:type="dcterms:W3CDTF">2018-01-26T09:13:00Z</dcterms:modified>
</cp:coreProperties>
</file>