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A8" w:rsidRDefault="00EB55AC" w:rsidP="00EB55AC">
      <w:pPr>
        <w:jc w:val="both"/>
      </w:pPr>
      <w:r>
        <w:t>I. INTR</w:t>
      </w:r>
      <w:bookmarkStart w:id="0" w:name="_GoBack"/>
      <w:bookmarkEnd w:id="0"/>
      <w:r>
        <w:t>ODUCCIÓN</w:t>
      </w:r>
      <w:proofErr w:type="gramStart"/>
      <w:r>
        <w:t>.—</w:t>
      </w:r>
      <w:proofErr w:type="gramEnd"/>
      <w:r>
        <w:t>II. LA STJUE DE 21 DE ENERO DE 2015 Y EL ATJUE DE 11 DE JUNIO DE 2015 Y LA ABUSIVIDAD DE LA CLÁUSULA DE INTERESES MORATORIOS</w:t>
      </w:r>
      <w:proofErr w:type="gramStart"/>
      <w:r>
        <w:t>.—</w:t>
      </w:r>
      <w:proofErr w:type="gramEnd"/>
      <w:r>
        <w:t>III. EL ATJUE DE 11 DE JUNIO DE 2015 Y LA ABUSIVIDAD DE LA CLÁUSULA DE VENCIMIENTO ANTICIPADO. POSIBLIDAD DE INTEGRACIÓN PRO CONSUMATORE</w:t>
      </w:r>
      <w:proofErr w:type="gramStart"/>
      <w:r>
        <w:t>.—</w:t>
      </w:r>
      <w:proofErr w:type="gramEnd"/>
      <w:r>
        <w:t>IV. CONCLUSIONES. —V. INDICE DE RESOLUCIONES CITADAS</w:t>
      </w:r>
      <w:proofErr w:type="gramStart"/>
      <w:r>
        <w:t>.—</w:t>
      </w:r>
      <w:proofErr w:type="gramEnd"/>
      <w:r>
        <w:t>VI. BIBLIOGRAFÍA.</w:t>
      </w:r>
    </w:p>
    <w:sectPr w:rsidR="008271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AC"/>
    <w:rsid w:val="008271A8"/>
    <w:rsid w:val="00EB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2018-01-29T08:20:00Z</dcterms:created>
  <dcterms:modified xsi:type="dcterms:W3CDTF">2018-01-29T08:21:00Z</dcterms:modified>
</cp:coreProperties>
</file>