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CD" w:rsidRDefault="00232E01" w:rsidP="00232E01">
      <w:pPr>
        <w:jc w:val="both"/>
      </w:pPr>
      <w:r>
        <w:t>I. EL TRATAMIENTO DE LAS SUCESIONES DE LOS EXTRA</w:t>
      </w:r>
      <w:bookmarkStart w:id="0" w:name="_GoBack"/>
      <w:bookmarkEnd w:id="0"/>
      <w:r>
        <w:t>NJEROS CON INTERESES INMOBILIARIOS EN ESPAÑA: UNA APROXIMACIÓN A LAS ÚLTIMAS RRDGRN</w:t>
      </w:r>
      <w:proofErr w:type="gramStart"/>
      <w:r>
        <w:t>.—</w:t>
      </w:r>
      <w:proofErr w:type="gramEnd"/>
      <w:r>
        <w:t>II. SUCESIONES CON ELEMENTO EXTRANJERO Y PRUEBA DEL DERECHO APLICABLE</w:t>
      </w:r>
      <w:proofErr w:type="gramStart"/>
      <w:r>
        <w:t>.—</w:t>
      </w:r>
      <w:proofErr w:type="gramEnd"/>
      <w:r>
        <w:t>III. EL REENVÍO Y LA RUPTURA DE LA UNIDAD DE LA HERENCIA</w:t>
      </w:r>
      <w:proofErr w:type="gramStart"/>
      <w:r>
        <w:t>.—</w:t>
      </w:r>
      <w:proofErr w:type="gramEnd"/>
      <w:r>
        <w:t>IV. LAS FORMALIDADES NECESARIAS PARA LA INSCRIPCIÓN DE LA DOCUMENTACIÓN SUCESORIA EXTRANJERA EN EL REGISTRO DE LA PROPIEDAD: 1. La cuestión del certificado sucesorio alemán; 2. Los certificados de últimas voluntades extranjeros.—V. LA IRRETROACTIVIDAD DEL REGLAMENTO 650/2012.—VI. CONCLUSIONES</w:t>
      </w:r>
      <w:proofErr w:type="gramStart"/>
      <w:r>
        <w:t>.—</w:t>
      </w:r>
      <w:proofErr w:type="gramEnd"/>
      <w:r>
        <w:t>VII. BIBLIOGRAFÍA</w:t>
      </w:r>
      <w:proofErr w:type="gramStart"/>
      <w:r>
        <w:t>.—</w:t>
      </w:r>
      <w:proofErr w:type="gramEnd"/>
      <w:r>
        <w:t>VIII. ÍNDICE DE RESOLUCIONES CITADAS.</w:t>
      </w:r>
    </w:p>
    <w:sectPr w:rsidR="002F1B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01"/>
    <w:rsid w:val="00232E01"/>
    <w:rsid w:val="002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2018-01-31T08:23:00Z</dcterms:created>
  <dcterms:modified xsi:type="dcterms:W3CDTF">2018-01-31T08:23:00Z</dcterms:modified>
</cp:coreProperties>
</file>