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09" w:rsidRDefault="0088487A" w:rsidP="0088487A">
      <w:pPr>
        <w:jc w:val="both"/>
      </w:pPr>
      <w:bookmarkStart w:id="0" w:name="_GoBack"/>
      <w:bookmarkEnd w:id="0"/>
      <w:r>
        <w:t>I. EL DERECHO DE SUPERFICIE: REGULACIÓN Y EVOLUCIÓN</w:t>
      </w:r>
      <w:proofErr w:type="gramStart"/>
      <w:r>
        <w:t>.—</w:t>
      </w:r>
      <w:proofErr w:type="gramEnd"/>
      <w:r>
        <w:t>II. LAS DISTINTAS CLASES DE DERECHO DE SUPERFICIE URBANA: LA «NORMAL» Y LA «URBANÍSITICA» VERSUS UN ÚNICO DERECHO DE SUPERFICIE: 1. EL DERECHO DE SUPERFICIE URBANO «NORMAL» Y EL «URBANÍSTICO». 1.1. Derecho de superficie «normal». 1.2. El derecho de superficie «urbanístico». 2. ARGUMENTOS A FAVOR DE CADA TESIS</w:t>
      </w:r>
      <w:proofErr w:type="gramStart"/>
      <w:r>
        <w:t>.—</w:t>
      </w:r>
      <w:proofErr w:type="gramEnd"/>
      <w:r>
        <w:t>III. LA EVOLUCIÓN JURISPRUDENCIAL SOBRE LA POSIBLE DUALIDAD DE DERECHOS DE SUPERFICIE URBANA. —IV. CONCLUSIONES</w:t>
      </w:r>
      <w:proofErr w:type="gramStart"/>
      <w:r>
        <w:t>.—</w:t>
      </w:r>
      <w:proofErr w:type="gramEnd"/>
      <w:r>
        <w:t>V. ÍNDICE DE RESOLUCIONES CITADAS.—VI. BIBLIOGRAFÍA</w:t>
      </w:r>
    </w:p>
    <w:sectPr w:rsidR="00582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A"/>
    <w:rsid w:val="00582E09"/>
    <w:rsid w:val="008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2018-01-26T09:23:00Z</dcterms:created>
  <dcterms:modified xsi:type="dcterms:W3CDTF">2018-01-26T09:24:00Z</dcterms:modified>
</cp:coreProperties>
</file>