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E9" w:rsidRDefault="001242DE" w:rsidP="001242DE">
      <w:pPr>
        <w:jc w:val="both"/>
      </w:pPr>
      <w:bookmarkStart w:id="0" w:name="_GoBack"/>
      <w:bookmarkEnd w:id="0"/>
      <w:r>
        <w:t>I. INTRODUCCIÓN</w:t>
      </w:r>
      <w:proofErr w:type="gramStart"/>
      <w:r>
        <w:t>.—</w:t>
      </w:r>
      <w:proofErr w:type="gramEnd"/>
      <w:r>
        <w:t>II. CUATRO PROBLEMAS EN LA LEY HIPOTECARIA DE 1861 Y EXPOSICIÓN DE LA TESIS DE PARDO NÚÑEZ</w:t>
      </w:r>
      <w:proofErr w:type="gramStart"/>
      <w:r>
        <w:t>.—</w:t>
      </w:r>
      <w:proofErr w:type="gramEnd"/>
      <w:r>
        <w:t>III. UNA DUDA SOBRE EL CONCEPTO DEL TERCERO EN MORELL Y TERRY</w:t>
      </w:r>
      <w:proofErr w:type="gramStart"/>
      <w:r>
        <w:t>.—</w:t>
      </w:r>
      <w:proofErr w:type="gramEnd"/>
      <w:r>
        <w:t>IV. EFICACIA DE LOS TÍTULOS INSCRITOS EN LAS CONTADURÍAS DE HIPOTECAS TRAS LA ENTRADA EN VIGOR DE LA LEY</w:t>
      </w:r>
      <w:proofErr w:type="gramStart"/>
      <w:r>
        <w:t>.—</w:t>
      </w:r>
      <w:proofErr w:type="gramEnd"/>
      <w:r>
        <w:t>V. LOS EFECTOS DE LAS PRIMERAS INSCRIPCIONES CAU-SADAS POR TÍTULOS ANTERIORES A LA ENTRADA EN VIGOR DE LA LEY.—VI. LA DETERMINACIÓN DEL TERCERO PROTEGIDO FRENTE A HIPOTECAS LEGALES Y OTROS GRAVÁMENES PREEXISTENTES. —VII. LA INSCRIPCIÓN Y SU EFICACIA RESPECTO A LA ATRIBUCIÓN O NO DEL CARÁCTER REAL AL DERECHO.</w:t>
      </w:r>
    </w:p>
    <w:sectPr w:rsidR="00840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DE"/>
    <w:rsid w:val="001242DE"/>
    <w:rsid w:val="008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2018-01-26T08:13:00Z</dcterms:created>
  <dcterms:modified xsi:type="dcterms:W3CDTF">2018-01-26T08:14:00Z</dcterms:modified>
</cp:coreProperties>
</file>