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0" w:rsidRDefault="00CD58FC" w:rsidP="00CD58FC">
      <w:pPr>
        <w:jc w:val="both"/>
      </w:pPr>
      <w:bookmarkStart w:id="0" w:name="_GoBack"/>
      <w:bookmarkEnd w:id="0"/>
      <w:r>
        <w:t>PREAMBULO—I. PRESUPUESTOS DE EXISTENCIA. —II. ¿CÓMO NACEN LAS SITUACIONES DE COTITULARIDAD?—III. NATURALEZA JURÍDICA DE LAS SITUACIONES DE COTITULARIDAD. PRINCIPALES TEORÍAS: 1. DIFERENCIAS ENTRE LA COMUNIDAD Y LA SOCIEDAD</w:t>
      </w:r>
      <w:proofErr w:type="gramStart"/>
      <w:r>
        <w:t>.—</w:t>
      </w:r>
      <w:proofErr w:type="gramEnd"/>
      <w:r>
        <w:t>IV. MODELOS TIPOS DE SITUACIONES DE TITULARIDAD CONJUNTA. COPROPIEDAD. LA CUOTA. DELIMITACIÓN JURÍDICA DE LA EXTINCIÓN, LA DISOLUCIÓN, LA CESIÓN Y LA LIQUIDACIÓN EN RÉGIMEN DE COMUNIDAD</w:t>
      </w:r>
      <w:proofErr w:type="gramStart"/>
      <w:r>
        <w:t>.—</w:t>
      </w:r>
      <w:proofErr w:type="gramEnd"/>
      <w:r>
        <w:t>V. LA COMUNIDAD GERMANICA. MODALIDAD NORMATIVA TÍPICA</w:t>
      </w:r>
      <w:proofErr w:type="gramStart"/>
      <w:r>
        <w:t>.—</w:t>
      </w:r>
      <w:proofErr w:type="gramEnd"/>
      <w:r>
        <w:t>VI. MODALIDADES NORMATIVAS ATÍPICAS: 1. LA COMUNIDAD HEREDITARIA. 2. BIENES COMUNES EN SUPUESTOS DE PROPIEDAD HORIZONTAL</w:t>
      </w:r>
      <w:proofErr w:type="gramStart"/>
      <w:r>
        <w:t>.—</w:t>
      </w:r>
      <w:proofErr w:type="gramEnd"/>
      <w:r>
        <w:t>VII. DERECHO DE PREFERENCIA ENTRE COPROPIETARIOS: TANTEO Y RETRACTO. IMPORTANCIA DE LA CUOTA O VALOR</w:t>
      </w:r>
      <w:proofErr w:type="gramStart"/>
      <w:r>
        <w:t>.—</w:t>
      </w:r>
      <w:proofErr w:type="gramEnd"/>
      <w:r>
        <w:t>VIII. ORGANIZACIÓN DE LA COMUNIDAD. REGLAS GENERALES</w:t>
      </w:r>
      <w:proofErr w:type="gramStart"/>
      <w:r>
        <w:t>.—</w:t>
      </w:r>
      <w:proofErr w:type="gramEnd"/>
      <w:r>
        <w:t>IX. LA GESTIÓN DE LOS BIENES COMUNES. CONCEPTO, CLASIFICACIÓN, FINES, IMPORTANCIA Y REGLAS. —X. ACTOS DE DISPOSICIÓN. REGLAS Y EFECTOS</w:t>
      </w:r>
      <w:proofErr w:type="gramStart"/>
      <w:r>
        <w:t>.—</w:t>
      </w:r>
      <w:proofErr w:type="gramEnd"/>
      <w:r>
        <w:t>XI. DIVISIBILIDAD O INDIVISIBILIDAD DE LA SITUACIÓN DE COMUNIDAD. CONCEPTO. DERECHO A PERMANECER EN LA COMUNIDAD. REGLAS DE DIVISIÓN SEGÚN EL OBJETO: 1. PACTO DE INDIVISIÓN. VIABILIDAD, IMPORTANCIA Y BENEFICIOS DEL PACTO</w:t>
      </w:r>
      <w:proofErr w:type="gramStart"/>
      <w:r>
        <w:t>.—</w:t>
      </w:r>
      <w:proofErr w:type="gramEnd"/>
      <w:r>
        <w:t>XII. ¿QUIÉNES PUEDEN ENTABLAR LA ACCIÓN DE DIVISIÓN?: 1. ¿CÓMO LLEVAR A CABO LA DIVISIÓN? 2. EFECTOS DE LA DIVISIÓN. 3. REGLAS DE LA PARTICIÓN HEREDITARIA APLICADA A LA COPROPIEDAD. NECESIDAD DE LA REMISIÓN INVERSA. —XIII. CAUSAS DE EXTINCIÓN DE LA COMUNIDAD DE BIENES: 1. CONSOLIDACIÓN. 2. EXTINCIÓN DEL OBJETO. 3. RENUNCIA HECHA POR TODOS LOS COMUNEROS. 4. PRESCRIPCIÓN ADQUISITIVA A FAVOR DE UN TERCERO. 5. DIVISIÓN DEL OBJETO COMÚN</w:t>
      </w:r>
      <w:proofErr w:type="gramStart"/>
      <w:r>
        <w:t>.—</w:t>
      </w:r>
      <w:proofErr w:type="gramEnd"/>
      <w:r>
        <w:t>XIV. UTILIDAD, NECESIDAD Y DES ACTUALIZACIÓN DEL PRECEPTO 168 DEL CÓDIGO CIVIL CUBANO</w:t>
      </w:r>
      <w:proofErr w:type="gramStart"/>
      <w:r>
        <w:t>.—</w:t>
      </w:r>
      <w:proofErr w:type="gramEnd"/>
      <w:r>
        <w:t>XV. CONCLUSIONES</w:t>
      </w:r>
      <w:proofErr w:type="gramStart"/>
      <w:r>
        <w:t>.—</w:t>
      </w:r>
      <w:proofErr w:type="gramEnd"/>
      <w:r>
        <w:t>XVI. BIBLIOGRAFÍA.</w:t>
      </w:r>
    </w:p>
    <w:sectPr w:rsidR="00582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C"/>
    <w:rsid w:val="00582700"/>
    <w:rsid w:val="00C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2018-01-25T10:02:00Z</dcterms:created>
  <dcterms:modified xsi:type="dcterms:W3CDTF">2018-01-25T10:03:00Z</dcterms:modified>
</cp:coreProperties>
</file>